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红松籽"/>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桓仁红松籽</w:t>
      </w:r>
      <w:r>
        <w:rPr>
          <w:rFonts w:hint="eastAsia"/>
          <w:lang w:val="en-US" w:eastAsia="zh-CN"/>
        </w:rPr>
        <w:fldChar w:fldCharType="end"/>
      </w:r>
      <w:bookmarkEnd w:id="2"/>
    </w:p>
    <w:p>
      <w:pPr>
        <w:pStyle w:val="43"/>
        <w:bidi w:val="0"/>
        <w:spacing w:after="0"/>
        <w:rPr>
          <w:rFonts w:hint="eastAsia"/>
          <w:lang w:val="en-US" w:eastAsia="zh-CN"/>
        </w:rPr>
      </w:pPr>
    </w:p>
    <w:p>
      <w:pPr>
        <w:pStyle w:val="43"/>
        <w:bidi w:val="0"/>
        <w:spacing w:after="0"/>
        <w:rPr>
          <w:rFonts w:hint="eastAsia"/>
          <w:lang w:val="en-US" w:eastAsia="zh-CN"/>
        </w:rPr>
      </w:pPr>
    </w:p>
    <w:p>
      <w:pPr>
        <w:pStyle w:val="43"/>
        <w:bidi w:val="0"/>
        <w:spacing w:after="0"/>
        <w:rPr>
          <w:rFonts w:hint="eastAsia"/>
          <w:lang w:val="en-US" w:eastAsia="zh-CN"/>
        </w:rPr>
      </w:pPr>
      <w:r>
        <w:rPr>
          <w:rFonts w:hint="eastAsia"/>
          <w:lang w:val="en-US" w:eastAsia="zh-CN"/>
        </w:rPr>
        <w:t>（征求意见稿）</w:t>
      </w:r>
    </w:p>
    <w:p>
      <w:pPr>
        <w:pStyle w:val="44"/>
        <w:bidi w:val="0"/>
        <w:spacing w:before="100"/>
        <w:rPr>
          <w:rFonts w:hint="eastAsia"/>
          <w:lang w:val="en-US" w:eastAsia="zh-CN"/>
        </w:rPr>
      </w:pPr>
    </w:p>
    <w:p>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3"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4"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4"/>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5"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6"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7"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8"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9"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default"/>
                <w:vertAlign w:val="baseline"/>
                <w:lang w:val="en-US" w:eastAsia="zh-CN"/>
              </w:rPr>
            </w:pPr>
            <w:r>
              <w:rPr>
                <w:rFonts w:hint="eastAsia"/>
                <w:vertAlign w:val="baseline"/>
                <w:lang w:val="en-US" w:eastAsia="zh-CN"/>
              </w:rPr>
              <w:t>67.080.10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3" name="图片 3" descr="地标"/>
                        <wp:cNvGraphicFramePr/>
                        <a:graphic xmlns:a="http://schemas.openxmlformats.org/drawingml/2006/main">
                          <a:graphicData uri="http://schemas.openxmlformats.org/drawingml/2006/picture">
                            <pic:pic xmlns:pic="http://schemas.openxmlformats.org/drawingml/2006/picture">
                              <pic:nvPicPr>
                                <pic:cNvPr id="3" name="图片 3"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pPr>
        <w:pStyle w:val="53"/>
        <w:bidi w:val="0"/>
        <w:rPr>
          <w:rFonts w:hint="eastAsia"/>
          <w:lang w:val="en-US" w:eastAsia="zh-CN"/>
        </w:rPr>
      </w:pPr>
      <w:bookmarkStart w:id="10" w:name="_Toc63"/>
      <w:r>
        <w:rPr>
          <w:rFonts w:hint="eastAsia"/>
          <w:spacing w:val="317"/>
          <w:lang w:val="en-US" w:eastAsia="zh-CN"/>
        </w:rPr>
        <w:t>前</w:t>
      </w:r>
      <w:bookmarkStart w:id="11" w:name="BKQY"/>
      <w:r>
        <w:rPr>
          <w:rFonts w:hint="eastAsia"/>
          <w:lang w:val="en-US" w:eastAsia="zh-CN"/>
        </w:rPr>
        <w:t>言</w:t>
      </w:r>
      <w:bookmarkEnd w:id="10"/>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3"/>
        <w:bidi w:val="0"/>
        <w:rPr>
          <w:rFonts w:hint="eastAsia"/>
          <w:lang w:val="en-US" w:eastAsia="zh-CN"/>
        </w:rPr>
      </w:pPr>
      <w:r>
        <w:rPr>
          <w:rFonts w:hint="eastAsia"/>
          <w:lang w:val="en-US" w:eastAsia="zh-CN"/>
        </w:rPr>
        <w:t>本文件主要起草人：樊琳琳、吕威、刘玉龙、王旭、丁国伟、尚福强、裴立楠、金洪艳、李欣航、孙阳、王彬、。</w:t>
      </w:r>
    </w:p>
    <w:p>
      <w:pPr>
        <w:pStyle w:val="23"/>
        <w:ind w:firstLine="420"/>
        <w:rPr>
          <w:rFonts w:hint="eastAsia"/>
          <w:highlight w:val="none"/>
        </w:rPr>
      </w:pPr>
      <w:r>
        <w:rPr>
          <w:rFonts w:hint="eastAsia"/>
        </w:rPr>
        <w:t xml:space="preserve">归口管理部门联系方式： </w:t>
      </w:r>
      <w:r>
        <w:rPr>
          <w:rFonts w:hint="eastAsia"/>
          <w:highlight w:val="none"/>
          <w:lang w:val="en-US" w:eastAsia="zh-CN"/>
        </w:rPr>
        <w:t>本溪市</w:t>
      </w:r>
      <w:r>
        <w:rPr>
          <w:rFonts w:hint="eastAsia"/>
          <w:highlight w:val="none"/>
        </w:rPr>
        <w:t>林业和草原局（</w:t>
      </w:r>
      <w:r>
        <w:rPr>
          <w:rFonts w:hint="eastAsia"/>
          <w:highlight w:val="none"/>
          <w:lang w:val="en-US" w:eastAsia="zh-CN"/>
        </w:rPr>
        <w:t>本溪市平山区人民路31号</w:t>
      </w:r>
      <w:r>
        <w:rPr>
          <w:rFonts w:hint="eastAsia"/>
          <w:highlight w:val="none"/>
        </w:rPr>
        <w:t>），联系电话：024-</w:t>
      </w:r>
      <w:r>
        <w:rPr>
          <w:rFonts w:hint="eastAsia"/>
          <w:highlight w:val="none"/>
          <w:lang w:val="en-US" w:eastAsia="zh-CN"/>
        </w:rPr>
        <w:t>43560107</w:t>
      </w:r>
      <w:r>
        <w:rPr>
          <w:rFonts w:hint="eastAsia"/>
          <w:highlight w:val="none"/>
        </w:rPr>
        <w:t>。</w:t>
      </w:r>
    </w:p>
    <w:p>
      <w:pPr>
        <w:pStyle w:val="23"/>
        <w:bidi w:val="0"/>
        <w:rPr>
          <w:rFonts w:hint="eastAsia"/>
          <w:lang w:val="en-US" w:eastAsia="zh-CN"/>
        </w:rPr>
      </w:pPr>
      <w:r>
        <w:rPr>
          <w:rFonts w:hint="eastAsia"/>
          <w:highlight w:val="none"/>
        </w:rPr>
        <w:t>起草部门联系方式：</w:t>
      </w:r>
      <w:r>
        <w:rPr>
          <w:rFonts w:hint="eastAsia"/>
        </w:rPr>
        <w:t>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eastAsia"/>
          <w:lang w:val="en-US" w:eastAsia="zh-CN"/>
        </w:rPr>
      </w:pPr>
    </w:p>
    <w:bookmarkEnd w:id="11"/>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黑体" w:eastAsia="黑体" w:cs="黑体"/>
          <w:kern w:val="2"/>
          <w:sz w:val="32"/>
          <w:szCs w:val="32"/>
          <w:lang w:val="en-US" w:eastAsia="zh-CN" w:bidi="ar-SA"/>
        </w:rPr>
        <w:tag w:val="StandardName"/>
        <w:id w:val="147471882"/>
        <w:lock w:val="sdtLocked"/>
        <w:placeholder>
          <w:docPart w:val="{d0b3dde0-3348-4b75-a51f-86710826f3b1}"/>
        </w:placeholder>
      </w:sdtPr>
      <w:sdtEndPr>
        <w:rPr>
          <w:rFonts w:hint="eastAsia" w:ascii="黑体" w:hAnsi="黑体" w:eastAsia="黑体" w:cs="黑体"/>
          <w:kern w:val="2"/>
          <w:sz w:val="32"/>
          <w:szCs w:val="32"/>
          <w:lang w:val="en-US" w:eastAsia="zh-CN" w:bidi="ar-SA"/>
        </w:rPr>
      </w:sdtEndPr>
      <w:sdtContent>
        <w:p>
          <w:pPr>
            <w:pStyle w:val="59"/>
            <w:bidi w:val="0"/>
            <w:rPr>
              <w:rStyle w:val="118"/>
              <w:rFonts w:hint="eastAsia"/>
              <w:lang w:val="en-US" w:eastAsia="zh-CN"/>
            </w:rPr>
          </w:pPr>
          <w:bookmarkStart w:id="12" w:name="StandardName"/>
          <w:r>
            <w:rPr>
              <w:rFonts w:hint="eastAsia" w:cs="黑体"/>
              <w:kern w:val="2"/>
              <w:sz w:val="32"/>
              <w:szCs w:val="32"/>
              <w:lang w:val="en-US" w:eastAsia="zh-CN" w:bidi="ar-SA"/>
            </w:rPr>
            <w:t>地理标志产品 桓仁红松籽</w:t>
          </w:r>
          <w:bookmarkEnd w:id="12"/>
        </w:p>
      </w:sdtContent>
    </w:sdt>
    <w:p>
      <w:pPr>
        <w:pStyle w:val="70"/>
        <w:bidi w:val="0"/>
        <w:rPr>
          <w:rStyle w:val="118"/>
          <w:rFonts w:hint="eastAsia"/>
          <w:lang w:val="en-US" w:eastAsia="zh-CN"/>
        </w:rPr>
      </w:pPr>
      <w:bookmarkStart w:id="13" w:name="_Toc6685"/>
      <w:r>
        <w:rPr>
          <w:rFonts w:hint="default"/>
          <w:lang w:val="en-US" w:eastAsia="zh-CN"/>
        </w:rPr>
        <w:t>范围</w:t>
      </w:r>
      <w:bookmarkEnd w:id="13"/>
    </w:p>
    <w:p>
      <w:pPr>
        <w:pStyle w:val="23"/>
        <w:ind w:firstLine="420"/>
        <w:rPr>
          <w:rFonts w:hint="eastAsia"/>
        </w:rPr>
      </w:pPr>
      <w:r>
        <w:rPr>
          <w:rFonts w:hint="eastAsia"/>
        </w:rPr>
        <w:t>本文件规定了</w:t>
      </w:r>
      <w:r>
        <w:rPr>
          <w:rFonts w:hint="eastAsia"/>
          <w:lang w:val="en-US" w:eastAsia="zh-CN"/>
        </w:rPr>
        <w:t>桓仁红松籽</w:t>
      </w:r>
      <w:r>
        <w:rPr>
          <w:rFonts w:hint="eastAsia"/>
        </w:rPr>
        <w:t>的术语和定义、</w:t>
      </w:r>
      <w:r>
        <w:rPr>
          <w:rFonts w:hint="eastAsia"/>
          <w:lang w:val="en-US" w:eastAsia="zh-CN"/>
        </w:rPr>
        <w:t>地理标准产品保护范围、</w:t>
      </w:r>
      <w:r>
        <w:rPr>
          <w:rFonts w:hint="eastAsia"/>
        </w:rPr>
        <w:t>技术要求、检验方法、检验规则、标签、标志</w:t>
      </w:r>
      <w:r>
        <w:rPr>
          <w:rFonts w:hint="eastAsia"/>
          <w:lang w:eastAsia="zh-CN"/>
        </w:rPr>
        <w:t>、</w:t>
      </w:r>
      <w:r>
        <w:rPr>
          <w:rFonts w:hint="eastAsia"/>
        </w:rPr>
        <w:t>包装、运输和贮存。</w:t>
      </w:r>
    </w:p>
    <w:p>
      <w:pPr>
        <w:pStyle w:val="23"/>
        <w:rPr>
          <w:rFonts w:hint="default"/>
          <w:lang w:val="en-US" w:eastAsia="zh-CN"/>
        </w:rPr>
      </w:pPr>
      <w:r>
        <w:rPr>
          <w:rFonts w:hint="eastAsia" w:hAnsi="Times New Roman" w:cs="Times New Roman"/>
          <w:lang w:val="en-US" w:eastAsia="zh-CN"/>
        </w:rPr>
        <w:t>本文件适用于原国家质量监督检验检疫总局2009年第127号公告批准保护的桓仁红松籽</w:t>
      </w:r>
      <w:r>
        <w:rPr>
          <w:rFonts w:hint="eastAsia"/>
        </w:rPr>
        <w:t>。</w:t>
      </w:r>
    </w:p>
    <w:p>
      <w:pPr>
        <w:pStyle w:val="70"/>
        <w:bidi w:val="0"/>
        <w:rPr>
          <w:rFonts w:hint="eastAsia"/>
          <w:lang w:val="en-US" w:eastAsia="zh-CN"/>
        </w:rPr>
      </w:pPr>
      <w:bookmarkStart w:id="14" w:name="_Toc28565"/>
      <w:r>
        <w:rPr>
          <w:rFonts w:hint="default"/>
          <w:lang w:val="en-US" w:eastAsia="zh-CN"/>
        </w:rPr>
        <w:t>规范性引用文件</w:t>
      </w:r>
      <w:bookmarkEnd w:id="14"/>
    </w:p>
    <w:sdt>
      <w:sdtPr>
        <w:rPr>
          <w:rFonts w:hint="eastAsia" w:ascii="宋体" w:hAnsi="Times New Roman" w:eastAsia="宋体" w:cs="宋体"/>
          <w:sz w:val="21"/>
          <w:lang w:val="en-US" w:eastAsia="zh-CN"/>
        </w:rPr>
        <w:tag w:val="StandNameFile"/>
        <w:id w:val="147454872"/>
        <w:placeholder>
          <w:docPart w:val="{69a295b7-9e4f-4591-8422-33aa79e098a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bidi w:val="0"/>
        <w:rPr>
          <w:rFonts w:hint="eastAsia" w:hAnsi="Times New Roman" w:cs="宋体"/>
          <w:sz w:val="21"/>
          <w:lang w:val="en-US" w:eastAsia="zh-CN"/>
        </w:rPr>
      </w:pPr>
      <w:r>
        <w:rPr>
          <w:rFonts w:hint="eastAsia" w:hAnsi="Times New Roman" w:cs="宋体"/>
          <w:sz w:val="21"/>
          <w:lang w:val="en-US" w:eastAsia="zh-CN"/>
        </w:rPr>
        <w:t>GB/T 191 包装储运图示标志</w:t>
      </w:r>
    </w:p>
    <w:p>
      <w:pPr>
        <w:pStyle w:val="23"/>
        <w:bidi w:val="0"/>
        <w:rPr>
          <w:rFonts w:hint="eastAsia" w:hAnsi="Times New Roman" w:cs="宋体"/>
          <w:sz w:val="21"/>
          <w:lang w:val="en-US" w:eastAsia="zh-CN"/>
        </w:rPr>
      </w:pPr>
      <w:r>
        <w:rPr>
          <w:rFonts w:hint="eastAsia" w:hAnsi="Times New Roman" w:cs="宋体"/>
          <w:sz w:val="21"/>
          <w:lang w:val="en-US" w:eastAsia="zh-CN"/>
        </w:rPr>
        <w:t>GB 2760 食品安全国家标准 食品添加剂使用标准</w:t>
      </w:r>
    </w:p>
    <w:p>
      <w:pPr>
        <w:pStyle w:val="23"/>
        <w:bidi w:val="0"/>
        <w:rPr>
          <w:rFonts w:hint="default" w:hAnsi="Times New Roman" w:cs="宋体"/>
          <w:sz w:val="21"/>
          <w:lang w:val="en-US" w:eastAsia="zh-CN"/>
        </w:rPr>
      </w:pPr>
      <w:r>
        <w:rPr>
          <w:rFonts w:hint="default" w:hAnsi="Times New Roman" w:cs="宋体"/>
          <w:sz w:val="21"/>
          <w:lang w:val="en-US" w:eastAsia="zh-CN"/>
        </w:rPr>
        <w:t>GB 2761 食品安全国家标准 食品中真菌毒素限量</w:t>
      </w:r>
    </w:p>
    <w:p>
      <w:pPr>
        <w:pStyle w:val="23"/>
        <w:bidi w:val="0"/>
        <w:rPr>
          <w:rFonts w:hint="default" w:hAnsi="Times New Roman" w:cs="宋体"/>
          <w:sz w:val="21"/>
          <w:lang w:val="en-US" w:eastAsia="zh-CN"/>
        </w:rPr>
      </w:pPr>
      <w:r>
        <w:rPr>
          <w:rFonts w:hint="default" w:hAnsi="Times New Roman" w:cs="宋体"/>
          <w:sz w:val="21"/>
          <w:lang w:val="en-US" w:eastAsia="zh-CN"/>
        </w:rPr>
        <w:t>GB 2762 食品安全国家标准 食品中污染物限量（含第1号修改单）</w:t>
      </w:r>
    </w:p>
    <w:p>
      <w:pPr>
        <w:pStyle w:val="23"/>
        <w:bidi w:val="0"/>
        <w:rPr>
          <w:rFonts w:hint="eastAsia" w:hAnsi="Times New Roman" w:cs="宋体"/>
          <w:sz w:val="21"/>
          <w:lang w:val="en-US" w:eastAsia="zh-CN"/>
        </w:rPr>
      </w:pPr>
      <w:r>
        <w:rPr>
          <w:rFonts w:hint="eastAsia" w:hAnsi="Times New Roman" w:cs="宋体"/>
          <w:sz w:val="21"/>
          <w:lang w:val="en-US" w:eastAsia="zh-CN"/>
        </w:rPr>
        <w:t>GB 5009.3 食品安全国家标准  食品中水分的测定</w:t>
      </w:r>
    </w:p>
    <w:p>
      <w:pPr>
        <w:pStyle w:val="23"/>
        <w:bidi w:val="0"/>
        <w:rPr>
          <w:rFonts w:hint="eastAsia" w:hAnsi="Times New Roman" w:cs="宋体"/>
          <w:sz w:val="21"/>
          <w:lang w:val="en-US" w:eastAsia="zh-CN"/>
        </w:rPr>
      </w:pPr>
      <w:r>
        <w:rPr>
          <w:rFonts w:hint="eastAsia" w:hAnsi="Times New Roman" w:cs="宋体"/>
          <w:sz w:val="21"/>
          <w:lang w:val="en-US" w:eastAsia="zh-CN"/>
        </w:rPr>
        <w:t>GB 5009.6 食品安全国家标准食品中脂肪的测定</w:t>
      </w:r>
    </w:p>
    <w:p>
      <w:pPr>
        <w:pStyle w:val="23"/>
        <w:bidi w:val="0"/>
        <w:rPr>
          <w:rFonts w:hint="default" w:hAnsi="Times New Roman" w:cs="宋体"/>
          <w:sz w:val="21"/>
          <w:lang w:val="en-US" w:eastAsia="zh-CN"/>
        </w:rPr>
      </w:pPr>
      <w:r>
        <w:rPr>
          <w:rFonts w:hint="default" w:hAnsi="Times New Roman" w:cs="宋体"/>
          <w:sz w:val="21"/>
          <w:lang w:val="en-US" w:eastAsia="zh-CN"/>
        </w:rPr>
        <w:t>GB 5009.227 食品安全国家标准 食品中过氧化值的测定</w:t>
      </w:r>
    </w:p>
    <w:p>
      <w:pPr>
        <w:pStyle w:val="23"/>
        <w:bidi w:val="0"/>
        <w:rPr>
          <w:rFonts w:hint="eastAsia" w:hAnsi="Times New Roman" w:cs="宋体"/>
          <w:sz w:val="21"/>
          <w:lang w:val="en-US" w:eastAsia="zh-CN"/>
        </w:rPr>
      </w:pPr>
      <w:r>
        <w:rPr>
          <w:rFonts w:hint="default" w:hAnsi="Times New Roman" w:cs="宋体"/>
          <w:sz w:val="21"/>
          <w:lang w:val="en-US" w:eastAsia="zh-CN"/>
        </w:rPr>
        <w:t>GB 5009.229 食品安全国家标准 食品中酸价的测定</w:t>
      </w:r>
    </w:p>
    <w:p>
      <w:pPr>
        <w:pStyle w:val="23"/>
        <w:bidi w:val="0"/>
        <w:rPr>
          <w:rFonts w:hint="eastAsia" w:hAnsi="Times New Roman" w:cs="宋体"/>
          <w:sz w:val="21"/>
          <w:lang w:val="en-US" w:eastAsia="zh-CN"/>
        </w:rPr>
      </w:pPr>
      <w:r>
        <w:rPr>
          <w:rFonts w:hint="eastAsia" w:hAnsi="Times New Roman" w:cs="宋体"/>
          <w:sz w:val="21"/>
          <w:lang w:val="en-US" w:eastAsia="zh-CN"/>
        </w:rPr>
        <w:t>GB/T 6543 运输包装用单瓦楞纸箱和双瓦楞纸箱</w:t>
      </w:r>
    </w:p>
    <w:p>
      <w:pPr>
        <w:pStyle w:val="23"/>
        <w:bidi w:val="0"/>
        <w:rPr>
          <w:rFonts w:hint="eastAsia" w:hAnsi="Times New Roman" w:cs="宋体"/>
          <w:sz w:val="21"/>
          <w:lang w:val="en-US" w:eastAsia="zh-CN"/>
        </w:rPr>
      </w:pPr>
      <w:r>
        <w:rPr>
          <w:rFonts w:hint="eastAsia" w:hAnsi="Times New Roman" w:cs="宋体"/>
          <w:sz w:val="21"/>
          <w:lang w:val="en-US" w:eastAsia="zh-CN"/>
        </w:rPr>
        <w:t>GB 7718 食品安全国家标准  预包装食品标签通则</w:t>
      </w:r>
    </w:p>
    <w:p>
      <w:pPr>
        <w:pStyle w:val="23"/>
        <w:bidi w:val="0"/>
        <w:rPr>
          <w:rFonts w:hint="default" w:hAnsi="Times New Roman" w:cs="宋体"/>
          <w:sz w:val="21"/>
          <w:lang w:val="en-US" w:eastAsia="zh-CN"/>
        </w:rPr>
      </w:pPr>
      <w:r>
        <w:rPr>
          <w:rFonts w:hint="eastAsia" w:hAnsi="Times New Roman" w:cs="宋体"/>
          <w:sz w:val="21"/>
          <w:lang w:val="en-US" w:eastAsia="zh-CN"/>
        </w:rPr>
        <w:t>GB 9683 复合食品包装袋卫生标准</w:t>
      </w:r>
    </w:p>
    <w:p>
      <w:pPr>
        <w:pStyle w:val="23"/>
        <w:bidi w:val="0"/>
        <w:rPr>
          <w:rFonts w:hint="default" w:hAnsi="Times New Roman" w:cs="宋体"/>
          <w:sz w:val="21"/>
          <w:lang w:val="en-US" w:eastAsia="zh-CN"/>
        </w:rPr>
      </w:pPr>
      <w:r>
        <w:rPr>
          <w:rFonts w:hint="eastAsia" w:hAnsi="Times New Roman" w:cs="宋体"/>
          <w:sz w:val="21"/>
          <w:lang w:val="en-US" w:eastAsia="zh-CN"/>
        </w:rPr>
        <w:t>GB 19300 食品安全国家标准 坚果与籽类食品</w:t>
      </w:r>
    </w:p>
    <w:p>
      <w:pPr>
        <w:pStyle w:val="23"/>
        <w:bidi w:val="0"/>
        <w:rPr>
          <w:rFonts w:hint="eastAsia" w:hAnsi="Times New Roman" w:cs="宋体"/>
          <w:sz w:val="21"/>
          <w:lang w:val="en-US" w:eastAsia="zh-CN"/>
        </w:rPr>
      </w:pPr>
      <w:r>
        <w:rPr>
          <w:rFonts w:hint="eastAsia" w:hAnsi="Times New Roman" w:cs="宋体"/>
          <w:sz w:val="21"/>
          <w:lang w:val="en-US" w:eastAsia="zh-CN"/>
        </w:rPr>
        <w:t>GB 28050  食品安全国家标准 预包装食品营养标签通则</w:t>
      </w:r>
    </w:p>
    <w:p>
      <w:pPr>
        <w:pStyle w:val="23"/>
        <w:bidi w:val="0"/>
        <w:rPr>
          <w:rFonts w:hint="eastAsia" w:hAnsi="Times New Roman" w:cs="宋体"/>
          <w:sz w:val="21"/>
          <w:lang w:val="en-US" w:eastAsia="zh-CN"/>
        </w:rPr>
      </w:pPr>
      <w:r>
        <w:rPr>
          <w:rFonts w:hint="eastAsia" w:hAnsi="Times New Roman" w:cs="宋体"/>
          <w:sz w:val="21"/>
          <w:lang w:val="en-US" w:eastAsia="zh-CN"/>
        </w:rPr>
        <w:t>GB 29921 食品安全国家标准 预包装食品中致病菌限量</w:t>
      </w:r>
    </w:p>
    <w:p>
      <w:pPr>
        <w:pStyle w:val="23"/>
        <w:bidi w:val="0"/>
        <w:rPr>
          <w:rFonts w:hint="default" w:hAnsi="Times New Roman" w:cs="宋体"/>
          <w:sz w:val="21"/>
          <w:lang w:val="en-US" w:eastAsia="zh-CN"/>
        </w:rPr>
      </w:pPr>
      <w:r>
        <w:rPr>
          <w:rFonts w:hint="eastAsia" w:hAnsi="Times New Roman" w:cs="宋体"/>
          <w:sz w:val="21"/>
          <w:lang w:val="en-US" w:eastAsia="zh-CN"/>
        </w:rPr>
        <w:t>LY/T 1921 红松松籽</w:t>
      </w:r>
    </w:p>
    <w:p>
      <w:pPr>
        <w:pStyle w:val="23"/>
        <w:bidi w:val="0"/>
        <w:rPr>
          <w:rFonts w:hint="eastAsia" w:ascii="宋体" w:hAnsi="Times New Roman" w:eastAsia="宋体" w:cs="宋体"/>
          <w:sz w:val="21"/>
          <w:lang w:val="en-US" w:eastAsia="zh-CN"/>
        </w:rPr>
      </w:pPr>
      <w:r>
        <w:rPr>
          <w:rFonts w:hint="eastAsia" w:hAnsi="Times New Roman" w:cs="宋体"/>
          <w:sz w:val="21"/>
          <w:lang w:val="en-US" w:eastAsia="zh-CN"/>
        </w:rPr>
        <w:t>国家质量监督检验检疫总局[2005]第75号《定量包装商品计量监督管理办法》</w:t>
      </w:r>
    </w:p>
    <w:p>
      <w:pPr>
        <w:pStyle w:val="70"/>
        <w:bidi w:val="0"/>
        <w:rPr>
          <w:rFonts w:hint="eastAsia" w:ascii="宋体" w:hAnsi="Times New Roman" w:eastAsia="宋体" w:cs="宋体"/>
          <w:lang w:val="en-US" w:eastAsia="zh-CN"/>
        </w:rPr>
      </w:pPr>
      <w:bookmarkStart w:id="15" w:name="_Toc29291"/>
      <w:r>
        <w:rPr>
          <w:rFonts w:hint="default"/>
          <w:lang w:val="en-US" w:eastAsia="zh-CN"/>
        </w:rPr>
        <w:t>术语和定义</w:t>
      </w:r>
      <w:bookmarkEnd w:id="15"/>
    </w:p>
    <w:sdt>
      <w:sdtPr>
        <w:rPr>
          <w:rFonts w:hint="default" w:ascii="宋体" w:hAnsi="Times New Roman" w:eastAsia="宋体" w:cs="宋体"/>
          <w:sz w:val="21"/>
          <w:lang w:val="en-US" w:eastAsia="zh-CN"/>
        </w:rPr>
        <w:tag w:val="TermContent"/>
        <w:id w:val="147454872"/>
        <w:placeholder>
          <w:docPart w:val="{770ca80c-c834-4f55-9eb8-6643914475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3"/>
            <w:rPr>
              <w:rFonts w:hint="default"/>
              <w:lang w:val="en-US" w:eastAsia="zh-CN"/>
            </w:rPr>
          </w:pPr>
          <w:r>
            <w:rPr>
              <w:rFonts w:hint="eastAsia" w:hAnsi="Times New Roman" w:cs="宋体"/>
              <w:sz w:val="21"/>
              <w:lang w:val="en-US" w:eastAsia="zh-CN"/>
            </w:rPr>
            <w:t>GB 19300</w:t>
          </w:r>
          <w:r>
            <w:rPr>
              <w:rFonts w:hint="default" w:ascii="宋体" w:hAnsi="Times New Roman" w:eastAsia="宋体" w:cs="宋体"/>
              <w:sz w:val="21"/>
              <w:lang w:val="en-US" w:eastAsia="zh-CN"/>
            </w:rPr>
            <w:t>界定的以及下列术语和定义适用于本文件。</w:t>
          </w:r>
        </w:p>
      </w:sdtContent>
    </w:sdt>
    <w:p>
      <w:pPr>
        <w:pStyle w:val="23"/>
        <w:rPr>
          <w:rFonts w:hint="eastAsia"/>
          <w:lang w:val="en-US" w:eastAsia="zh-CN"/>
        </w:rPr>
      </w:pPr>
    </w:p>
    <w:p>
      <w:pPr>
        <w:pStyle w:val="71"/>
        <w:bidi w:val="0"/>
        <w:rPr>
          <w:rFonts w:hint="default"/>
          <w:lang w:val="en-US" w:eastAsia="zh-CN"/>
        </w:rPr>
      </w:pPr>
      <w:r>
        <w:rPr>
          <w:rFonts w:hint="eastAsia"/>
          <w:lang w:val="en-US" w:eastAsia="zh-CN"/>
        </w:rPr>
        <w:t xml:space="preserve">桓仁红松籽 </w:t>
      </w:r>
      <w:r>
        <w:rPr>
          <w:rFonts w:hint="default"/>
          <w:lang w:val="en-US" w:eastAsia="zh-CN"/>
        </w:rPr>
        <w:t xml:space="preserve"> huanren korean pine nut</w:t>
      </w:r>
    </w:p>
    <w:p>
      <w:pPr>
        <w:pStyle w:val="23"/>
        <w:rPr>
          <w:rFonts w:hint="eastAsia"/>
          <w:lang w:val="en-US" w:eastAsia="zh-CN"/>
        </w:rPr>
      </w:pPr>
      <w:r>
        <w:rPr>
          <w:rFonts w:hint="eastAsia"/>
          <w:lang w:val="en-US" w:eastAsia="zh-CN"/>
        </w:rPr>
        <w:t>在桓仁满族自治县地理标志保护区内生长成熟的红松种子，经采摘、加工而成的红松籽。</w:t>
      </w:r>
    </w:p>
    <w:p>
      <w:pPr>
        <w:pStyle w:val="70"/>
        <w:bidi w:val="0"/>
        <w:rPr>
          <w:rFonts w:hint="eastAsia"/>
          <w:lang w:val="en-US" w:eastAsia="zh-CN"/>
        </w:rPr>
      </w:pPr>
      <w:bookmarkStart w:id="16" w:name="_Toc23258"/>
      <w:r>
        <w:rPr>
          <w:rFonts w:hint="eastAsia"/>
          <w:lang w:val="en-US" w:eastAsia="zh-CN"/>
        </w:rPr>
        <w:t>地理标志产品保护范围</w:t>
      </w:r>
      <w:bookmarkEnd w:id="16"/>
    </w:p>
    <w:p>
      <w:pPr>
        <w:pStyle w:val="23"/>
        <w:rPr>
          <w:rFonts w:hint="eastAsia"/>
          <w:lang w:val="en-US" w:eastAsia="zh-CN"/>
        </w:rPr>
      </w:pPr>
      <w:bookmarkStart w:id="17" w:name="_Toc26062"/>
      <w:r>
        <w:rPr>
          <w:rFonts w:hint="eastAsia"/>
          <w:lang w:val="en-US" w:eastAsia="zh-CN"/>
        </w:rPr>
        <w:t>辽宁省桓仁满族自治县现辖行政区域范围，见附录A。</w:t>
      </w:r>
      <w:bookmarkEnd w:id="17"/>
    </w:p>
    <w:p>
      <w:pPr>
        <w:pStyle w:val="70"/>
        <w:bidi w:val="0"/>
        <w:rPr>
          <w:rFonts w:hint="eastAsia"/>
          <w:lang w:val="en-US" w:eastAsia="zh-CN"/>
        </w:rPr>
      </w:pPr>
      <w:bookmarkStart w:id="18" w:name="_Toc7844"/>
      <w:r>
        <w:rPr>
          <w:rFonts w:hint="eastAsia"/>
          <w:lang w:val="en-US" w:eastAsia="zh-CN"/>
        </w:rPr>
        <w:t>技术要求</w:t>
      </w:r>
      <w:bookmarkEnd w:id="18"/>
    </w:p>
    <w:p>
      <w:pPr>
        <w:pStyle w:val="71"/>
        <w:bidi w:val="0"/>
        <w:rPr>
          <w:rFonts w:hint="eastAsia"/>
          <w:lang w:val="en-US" w:eastAsia="zh-CN"/>
        </w:rPr>
      </w:pPr>
      <w:bookmarkStart w:id="19" w:name="_Toc11316"/>
      <w:r>
        <w:rPr>
          <w:rFonts w:hint="eastAsia"/>
          <w:lang w:val="en-US" w:eastAsia="zh-CN"/>
        </w:rPr>
        <w:t>感官要求</w:t>
      </w:r>
      <w:bookmarkEnd w:id="19"/>
    </w:p>
    <w:p>
      <w:pPr>
        <w:pStyle w:val="23"/>
        <w:rPr>
          <w:rFonts w:hint="eastAsia"/>
          <w:lang w:val="en-US" w:eastAsia="zh-CN"/>
        </w:rPr>
      </w:pPr>
      <w:r>
        <w:rPr>
          <w:rFonts w:hint="eastAsia"/>
          <w:lang w:val="en-US" w:eastAsia="zh-CN"/>
        </w:rPr>
        <w:t>符合表1的规定。</w:t>
      </w:r>
    </w:p>
    <w:p>
      <w:pPr>
        <w:pStyle w:val="111"/>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09"/>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09"/>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09"/>
              <w:widowControl w:val="0"/>
              <w:bidi w:val="0"/>
              <w:jc w:val="center"/>
              <w:rPr>
                <w:rFonts w:hint="eastAsia"/>
                <w:lang w:val="en-US" w:eastAsia="zh-CN"/>
              </w:rPr>
            </w:pPr>
          </w:p>
        </w:tc>
        <w:tc>
          <w:tcPr>
            <w:tcW w:w="1666"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干红松籽</w:t>
            </w:r>
          </w:p>
        </w:tc>
        <w:tc>
          <w:tcPr>
            <w:tcW w:w="1667"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eastAsia="宋体"/>
                <w:sz w:val="18"/>
                <w:szCs w:val="18"/>
                <w:lang w:eastAsia="zh-CN"/>
              </w:rPr>
              <w:t>外观</w:t>
            </w:r>
          </w:p>
        </w:tc>
        <w:tc>
          <w:tcPr>
            <w:tcW w:w="1666" w:type="pct"/>
            <w:vAlign w:val="center"/>
          </w:tcPr>
          <w:p>
            <w:pPr>
              <w:pStyle w:val="119"/>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坚果成熟，外观形态完好、整齐，呈</w:t>
            </w:r>
            <w:r>
              <w:rPr>
                <w:rFonts w:hint="eastAsia"/>
                <w:sz w:val="18"/>
                <w:szCs w:val="18"/>
                <w:lang w:val="en-US" w:eastAsia="zh-CN"/>
              </w:rPr>
              <w:t>黄褐色、浅金黄色</w:t>
            </w:r>
            <w:r>
              <w:rPr>
                <w:rFonts w:hint="eastAsia"/>
                <w:sz w:val="18"/>
                <w:szCs w:val="18"/>
              </w:rPr>
              <w:t>，</w:t>
            </w:r>
            <w:r>
              <w:rPr>
                <w:rFonts w:hint="eastAsia"/>
                <w:sz w:val="18"/>
                <w:szCs w:val="18"/>
                <w:lang w:val="en-US" w:eastAsia="zh-CN"/>
              </w:rPr>
              <w:t>有光泽</w:t>
            </w:r>
            <w:r>
              <w:rPr>
                <w:rFonts w:hint="eastAsia"/>
                <w:sz w:val="18"/>
                <w:szCs w:val="18"/>
              </w:rPr>
              <w:t>。</w:t>
            </w:r>
          </w:p>
        </w:tc>
        <w:tc>
          <w:tcPr>
            <w:tcW w:w="1667" w:type="pct"/>
            <w:vAlign w:val="center"/>
          </w:tcPr>
          <w:p>
            <w:pPr>
              <w:pStyle w:val="119"/>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w:t>
            </w:r>
            <w:r>
              <w:rPr>
                <w:rFonts w:hint="eastAsia"/>
                <w:sz w:val="18"/>
                <w:szCs w:val="18"/>
                <w:lang w:val="en-US" w:eastAsia="zh-CN"/>
              </w:rPr>
              <w:t>色泽均匀，有光泽，无明显焦色。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right"/>
              <w:rPr>
                <w:rFonts w:hint="eastAsia"/>
                <w:lang w:val="en-US" w:eastAsia="zh-CN"/>
              </w:rPr>
            </w:pPr>
            <w:r>
              <w:rPr>
                <w:rFonts w:hint="eastAsia" w:ascii="宋体" w:hAnsi="宋体"/>
                <w:sz w:val="18"/>
                <w:szCs w:val="18"/>
                <w:lang w:val="en-US" w:eastAsia="zh-CN"/>
              </w:rPr>
              <w:t xml:space="preserve">           霉变粒/%            </w:t>
            </w:r>
            <w:r>
              <w:rPr>
                <w:rFonts w:hint="default" w:ascii="Arial" w:hAnsi="Arial" w:cs="Arial"/>
                <w:sz w:val="18"/>
                <w:szCs w:val="18"/>
                <w:lang w:val="en-US" w:eastAsia="zh-CN"/>
              </w:rPr>
              <w:t>≤</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滋味、气味</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浓松香味，</w:t>
            </w:r>
            <w:r>
              <w:rPr>
                <w:rFonts w:hint="eastAsia" w:ascii="宋体" w:hAnsi="宋体"/>
                <w:color w:val="000000" w:themeColor="text1"/>
                <w:sz w:val="18"/>
                <w:szCs w:val="18"/>
                <w:lang w:eastAsia="zh-CN"/>
                <w14:textFill>
                  <w14:solidFill>
                    <w14:schemeClr w14:val="tx1"/>
                  </w14:solidFill>
                </w14:textFill>
              </w:rPr>
              <w:t>无酸败味、苦涩味等异味。</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无异味</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浓松香味，</w:t>
            </w:r>
            <w:r>
              <w:rPr>
                <w:rFonts w:hint="eastAsia" w:ascii="宋体" w:hAnsi="宋体"/>
                <w:color w:val="000000" w:themeColor="text1"/>
                <w:sz w:val="18"/>
                <w:szCs w:val="18"/>
                <w14:textFill>
                  <w14:solidFill>
                    <w14:schemeClr w14:val="tx1"/>
                  </w14:solidFill>
                </w14:textFill>
              </w:rPr>
              <w:t>具有松脆口感</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r>
    </w:tbl>
    <w:p>
      <w:pPr>
        <w:pStyle w:val="71"/>
        <w:bidi w:val="0"/>
        <w:rPr>
          <w:rFonts w:hint="eastAsia"/>
          <w:lang w:val="en-US" w:eastAsia="zh-CN"/>
        </w:rPr>
      </w:pPr>
      <w:bookmarkStart w:id="20" w:name="_Toc18477"/>
      <w:r>
        <w:rPr>
          <w:rFonts w:hint="eastAsia"/>
          <w:lang w:val="en-US" w:eastAsia="zh-CN"/>
        </w:rPr>
        <w:t>理化指标</w:t>
      </w:r>
      <w:bookmarkEnd w:id="20"/>
    </w:p>
    <w:p>
      <w:pPr>
        <w:pStyle w:val="23"/>
        <w:rPr>
          <w:rFonts w:hint="eastAsia"/>
        </w:rPr>
      </w:pPr>
      <w:r>
        <w:rPr>
          <w:rFonts w:hint="eastAsia"/>
        </w:rPr>
        <w:t>应符合表</w:t>
      </w:r>
      <w:r>
        <w:rPr>
          <w:rFonts w:hint="eastAsia"/>
          <w:lang w:val="en-US" w:eastAsia="zh-CN"/>
        </w:rPr>
        <w:t>2</w:t>
      </w:r>
      <w:r>
        <w:rPr>
          <w:rFonts w:hint="eastAsia"/>
        </w:rPr>
        <w:t>的要求。</w:t>
      </w:r>
    </w:p>
    <w:p>
      <w:pPr>
        <w:pStyle w:val="111"/>
        <w:bidi w:val="0"/>
        <w:rPr>
          <w:rFonts w:hint="eastAsia"/>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2885"/>
        <w:gridCol w:w="3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restart"/>
            <w:vAlign w:val="center"/>
          </w:tcPr>
          <w:p>
            <w:pPr>
              <w:pStyle w:val="109"/>
              <w:widowControl w:val="0"/>
              <w:bidi w:val="0"/>
              <w:ind w:left="0" w:leftChars="0" w:firstLine="0" w:firstLineChars="0"/>
              <w:jc w:val="center"/>
              <w:rPr>
                <w:rFonts w:hint="eastAsia"/>
                <w:lang w:val="en-US" w:eastAsia="zh-CN"/>
              </w:rPr>
            </w:pPr>
            <w:r>
              <w:rPr>
                <w:rFonts w:hint="eastAsia"/>
                <w:lang w:val="en-US" w:eastAsia="zh-CN"/>
              </w:rPr>
              <w:t>项  目</w:t>
            </w:r>
          </w:p>
        </w:tc>
        <w:tc>
          <w:tcPr>
            <w:tcW w:w="3176" w:type="pct"/>
            <w:gridSpan w:val="2"/>
            <w:tcBorders>
              <w:bottom w:val="single" w:color="auto" w:sz="8" w:space="0"/>
            </w:tcBorders>
          </w:tcPr>
          <w:p>
            <w:pPr>
              <w:adjustRightInd/>
              <w:spacing w:line="240" w:lineRule="auto"/>
              <w:jc w:val="center"/>
              <w:rPr>
                <w:rFonts w:hint="eastAsia"/>
                <w:lang w:val="en-US" w:eastAsia="zh-CN"/>
              </w:rPr>
            </w:pPr>
            <w:r>
              <w:rPr>
                <w:rFonts w:hint="eastAsia" w:ascii="宋体" w:hAnsi="宋体"/>
                <w:color w:val="000000"/>
                <w:sz w:val="18"/>
                <w:szCs w:val="18"/>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continue"/>
          </w:tcPr>
          <w:p>
            <w:pPr>
              <w:pStyle w:val="109"/>
              <w:widowControl w:val="0"/>
              <w:bidi w:val="0"/>
              <w:jc w:val="center"/>
              <w:rPr>
                <w:rFonts w:hint="eastAsia"/>
                <w:lang w:val="en-US" w:eastAsia="zh-CN"/>
              </w:rPr>
            </w:pPr>
          </w:p>
        </w:tc>
        <w:tc>
          <w:tcPr>
            <w:tcW w:w="1507"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生干</w:t>
            </w:r>
          </w:p>
        </w:tc>
        <w:tc>
          <w:tcPr>
            <w:tcW w:w="1668"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 xml:space="preserve">水分/%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09"/>
              <w:widowControl w:val="0"/>
              <w:bidi w:val="0"/>
              <w:jc w:val="center"/>
              <w:rPr>
                <w:rFonts w:hint="default"/>
                <w:lang w:val="en-US" w:eastAsia="zh-CN"/>
              </w:rPr>
            </w:pPr>
            <w:r>
              <w:rPr>
                <w:rFonts w:hint="eastAsia"/>
                <w:lang w:val="en-US" w:eastAsia="zh-CN"/>
              </w:rPr>
              <w:t>10</w:t>
            </w:r>
          </w:p>
        </w:tc>
        <w:tc>
          <w:tcPr>
            <w:tcW w:w="1668" w:type="pct"/>
          </w:tcPr>
          <w:p>
            <w:pPr>
              <w:pStyle w:val="109"/>
              <w:widowControl w:val="0"/>
              <w:bidi w:val="0"/>
              <w:jc w:val="center"/>
              <w:rPr>
                <w:rFonts w:hint="default"/>
                <w:lang w:val="en-US" w:eastAsia="zh-CN"/>
              </w:rPr>
            </w:pPr>
            <w:r>
              <w:rPr>
                <w:rFonts w:hint="eastAsia"/>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left"/>
              <w:rPr>
                <w:rFonts w:hint="default"/>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09"/>
              <w:widowControl w:val="0"/>
              <w:bidi w:val="0"/>
              <w:jc w:val="center"/>
              <w:rPr>
                <w:rFonts w:hint="default"/>
                <w:lang w:val="en-US" w:eastAsia="zh-CN"/>
              </w:rPr>
            </w:pPr>
            <w:r>
              <w:rPr>
                <w:rFonts w:hint="eastAsia"/>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right"/>
              <w:rPr>
                <w:rFonts w:hint="eastAsia"/>
                <w:lang w:val="en-US" w:eastAsia="zh-CN"/>
              </w:rPr>
            </w:pPr>
            <w:r>
              <w:rPr>
                <w:rFonts w:hint="eastAsia" w:ascii="宋体" w:hAnsi="宋体" w:cs="宋体"/>
                <w:color w:val="000000"/>
                <w:sz w:val="18"/>
                <w:szCs w:val="18"/>
                <w:lang w:val="en-US" w:eastAsia="zh-CN"/>
              </w:rPr>
              <w:t>酸价（以脂肪计）（KOH）/（mg/g）</w:t>
            </w:r>
            <w:r>
              <w:rPr>
                <w:rFonts w:hint="eastAsia" w:hAnsi="宋体" w:cs="宋体"/>
                <w:color w:val="000000"/>
                <w:sz w:val="18"/>
                <w:szCs w:val="18"/>
                <w:lang w:val="en-US" w:eastAsia="zh-CN"/>
              </w:rPr>
              <w:t xml:space="preserve">  </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09"/>
              <w:widowControl w:val="0"/>
              <w:bidi w:val="0"/>
              <w:jc w:val="center"/>
              <w:rPr>
                <w:rFonts w:hint="default"/>
                <w:lang w:val="en-US" w:eastAsia="zh-CN"/>
              </w:rPr>
            </w:pP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both"/>
              <w:rPr>
                <w:rFonts w:hint="eastAsia"/>
                <w:lang w:val="en-US" w:eastAsia="zh-CN"/>
              </w:rPr>
            </w:pPr>
            <w:r>
              <w:rPr>
                <w:rFonts w:hint="eastAsia" w:ascii="宋体" w:hAnsi="宋体" w:cs="宋体"/>
                <w:color w:val="000000"/>
                <w:sz w:val="18"/>
                <w:szCs w:val="18"/>
                <w:lang w:val="en-US" w:eastAsia="zh-CN"/>
              </w:rPr>
              <w:t xml:space="preserve">过氧化值（以脂肪计）/（g/100g）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09"/>
              <w:widowControl w:val="0"/>
              <w:bidi w:val="0"/>
              <w:jc w:val="center"/>
              <w:rPr>
                <w:rFonts w:hint="default"/>
                <w:lang w:val="en-US" w:eastAsia="zh-CN"/>
              </w:rPr>
            </w:pPr>
            <w:r>
              <w:rPr>
                <w:rFonts w:hint="eastAsia"/>
                <w:lang w:val="en-US" w:eastAsia="zh-CN"/>
              </w:rPr>
              <w:t>0.08</w:t>
            </w:r>
          </w:p>
        </w:tc>
        <w:tc>
          <w:tcPr>
            <w:tcW w:w="1668" w:type="pct"/>
          </w:tcPr>
          <w:p>
            <w:pPr>
              <w:pStyle w:val="109"/>
              <w:widowControl w:val="0"/>
              <w:bidi w:val="0"/>
              <w:jc w:val="center"/>
              <w:rPr>
                <w:rFonts w:hint="default"/>
                <w:lang w:val="en-US" w:eastAsia="zh-CN"/>
              </w:rPr>
            </w:pPr>
            <w:r>
              <w:rPr>
                <w:rFonts w:hint="eastAsia"/>
                <w:lang w:val="en-US" w:eastAsia="zh-CN"/>
              </w:rPr>
              <w:t>0.50</w:t>
            </w:r>
          </w:p>
        </w:tc>
      </w:tr>
    </w:tbl>
    <w:p>
      <w:pPr>
        <w:pStyle w:val="71"/>
        <w:bidi w:val="0"/>
        <w:rPr>
          <w:rFonts w:hint="eastAsia"/>
          <w:lang w:val="en-US" w:eastAsia="zh-CN"/>
        </w:rPr>
      </w:pPr>
      <w:bookmarkStart w:id="21" w:name="_Toc30712"/>
      <w:r>
        <w:rPr>
          <w:rFonts w:hint="eastAsia"/>
          <w:lang w:val="en-US" w:eastAsia="zh-CN"/>
        </w:rPr>
        <w:t>质量等级</w:t>
      </w:r>
      <w:bookmarkEnd w:id="21"/>
    </w:p>
    <w:p>
      <w:pPr>
        <w:pStyle w:val="23"/>
        <w:rPr>
          <w:rFonts w:hint="eastAsia"/>
          <w:lang w:val="en-US" w:eastAsia="zh-CN"/>
        </w:rPr>
      </w:pPr>
      <w:r>
        <w:rPr>
          <w:rFonts w:hint="eastAsia"/>
          <w:lang w:val="en-US" w:eastAsia="zh-CN"/>
        </w:rPr>
        <w:t>应符合表3要求。</w:t>
      </w:r>
    </w:p>
    <w:p>
      <w:pPr>
        <w:pStyle w:val="111"/>
        <w:bidi w:val="0"/>
        <w:rPr>
          <w:rFonts w:hint="eastAsia"/>
          <w:lang w:val="en-US" w:eastAsia="zh-CN"/>
        </w:rPr>
      </w:pPr>
      <w:r>
        <w:rPr>
          <w:rFonts w:hint="eastAsia"/>
          <w:lang w:val="en-US" w:eastAsia="zh-CN"/>
        </w:rPr>
        <w:t>质量等级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restart"/>
            <w:vAlign w:val="center"/>
          </w:tcPr>
          <w:p>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4000" w:type="pct"/>
            <w:gridSpan w:val="4"/>
            <w:tcBorders>
              <w:bottom w:val="single" w:color="auto" w:sz="8" w:space="0"/>
            </w:tcBorders>
          </w:tcPr>
          <w:p>
            <w:pPr>
              <w:pStyle w:val="109"/>
              <w:widowControl w:val="0"/>
              <w:bidi w:val="0"/>
              <w:ind w:left="0" w:leftChars="0" w:firstLine="0" w:firstLineChars="0"/>
              <w:jc w:val="center"/>
              <w:rPr>
                <w:rFonts w:hint="eastAsia"/>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09"/>
              <w:widowControl w:val="0"/>
              <w:bidi w:val="0"/>
              <w:jc w:val="center"/>
              <w:rPr>
                <w:rFonts w:hint="eastAsia"/>
                <w:lang w:val="en-US" w:eastAsia="zh-CN"/>
              </w:rPr>
            </w:pPr>
          </w:p>
        </w:tc>
        <w:tc>
          <w:tcPr>
            <w:tcW w:w="2000" w:type="pct"/>
            <w:gridSpan w:val="2"/>
            <w:tcBorders>
              <w:top w:val="single" w:color="auto" w:sz="8" w:space="0"/>
            </w:tcBorders>
          </w:tcPr>
          <w:p>
            <w:pPr>
              <w:pStyle w:val="109"/>
              <w:widowControl w:val="0"/>
              <w:bidi w:val="0"/>
              <w:jc w:val="center"/>
              <w:rPr>
                <w:rFonts w:hint="eastAsia"/>
                <w:lang w:val="en-US" w:eastAsia="zh-CN"/>
              </w:rPr>
            </w:pPr>
            <w:r>
              <w:rPr>
                <w:rFonts w:hint="eastAsia" w:ascii="宋体" w:hAnsi="宋体"/>
                <w:color w:val="000000"/>
                <w:sz w:val="18"/>
                <w:szCs w:val="18"/>
                <w:lang w:val="en-US" w:eastAsia="zh-CN"/>
              </w:rPr>
              <w:t>生干</w:t>
            </w:r>
          </w:p>
        </w:tc>
        <w:tc>
          <w:tcPr>
            <w:tcW w:w="2000" w:type="pct"/>
            <w:gridSpan w:val="2"/>
            <w:tcBorders>
              <w:top w:val="single" w:color="auto" w:sz="8" w:space="0"/>
            </w:tcBorders>
          </w:tcPr>
          <w:p>
            <w:pPr>
              <w:pStyle w:val="109"/>
              <w:widowControl w:val="0"/>
              <w:bidi w:val="0"/>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09"/>
              <w:widowControl w:val="0"/>
              <w:bidi w:val="0"/>
              <w:jc w:val="center"/>
              <w:rPr>
                <w:rFonts w:hint="eastAsia"/>
                <w:lang w:val="en-US" w:eastAsia="zh-CN"/>
              </w:rPr>
            </w:pPr>
          </w:p>
        </w:tc>
        <w:tc>
          <w:tcPr>
            <w:tcW w:w="1000" w:type="pct"/>
          </w:tcPr>
          <w:p>
            <w:pPr>
              <w:pStyle w:val="109"/>
              <w:widowControl w:val="0"/>
              <w:bidi w:val="0"/>
              <w:jc w:val="center"/>
              <w:rPr>
                <w:rFonts w:hint="default"/>
                <w:lang w:val="en-US" w:eastAsia="zh-CN"/>
              </w:rPr>
            </w:pPr>
            <w:r>
              <w:rPr>
                <w:rFonts w:hint="eastAsia"/>
                <w:lang w:val="en-US" w:eastAsia="zh-CN"/>
              </w:rPr>
              <w:t>一级</w:t>
            </w:r>
          </w:p>
        </w:tc>
        <w:tc>
          <w:tcPr>
            <w:tcW w:w="1000" w:type="pct"/>
          </w:tcPr>
          <w:p>
            <w:pPr>
              <w:pStyle w:val="109"/>
              <w:widowControl w:val="0"/>
              <w:bidi w:val="0"/>
              <w:jc w:val="center"/>
              <w:rPr>
                <w:rFonts w:hint="default"/>
                <w:lang w:val="en-US" w:eastAsia="zh-CN"/>
              </w:rPr>
            </w:pPr>
            <w:r>
              <w:rPr>
                <w:rFonts w:hint="eastAsia"/>
                <w:lang w:val="en-US" w:eastAsia="zh-CN"/>
              </w:rPr>
              <w:t>二级</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一级</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lang w:val="en-US" w:eastAsia="zh-CN"/>
              </w:rPr>
              <w:t xml:space="preserve">千粒重/g         </w:t>
            </w:r>
            <w:r>
              <w:rPr>
                <w:rFonts w:hint="default" w:ascii="Arial" w:hAnsi="Arial" w:cs="Arial"/>
                <w:lang w:val="en-US" w:eastAsia="zh-CN"/>
              </w:rPr>
              <w:t>≥</w:t>
            </w:r>
          </w:p>
        </w:tc>
        <w:tc>
          <w:tcPr>
            <w:tcW w:w="1000" w:type="pct"/>
          </w:tcPr>
          <w:p>
            <w:pPr>
              <w:pStyle w:val="109"/>
              <w:widowControl w:val="0"/>
              <w:bidi w:val="0"/>
              <w:jc w:val="center"/>
              <w:rPr>
                <w:rFonts w:hint="default"/>
                <w:lang w:val="en-US" w:eastAsia="zh-CN"/>
              </w:rPr>
            </w:pPr>
            <w:r>
              <w:rPr>
                <w:rFonts w:hint="eastAsia"/>
                <w:lang w:val="en-US" w:eastAsia="zh-CN"/>
              </w:rPr>
              <w:t>650</w:t>
            </w:r>
          </w:p>
        </w:tc>
        <w:tc>
          <w:tcPr>
            <w:tcW w:w="1000" w:type="pct"/>
          </w:tcPr>
          <w:p>
            <w:pPr>
              <w:pStyle w:val="109"/>
              <w:widowControl w:val="0"/>
              <w:bidi w:val="0"/>
              <w:jc w:val="center"/>
              <w:rPr>
                <w:rFonts w:hint="default"/>
                <w:lang w:val="en-US" w:eastAsia="zh-CN"/>
              </w:rPr>
            </w:pPr>
            <w:r>
              <w:rPr>
                <w:rFonts w:hint="eastAsia"/>
                <w:lang w:val="en-US" w:eastAsia="zh-CN"/>
              </w:rPr>
              <w:t>600</w:t>
            </w:r>
          </w:p>
        </w:tc>
        <w:tc>
          <w:tcPr>
            <w:tcW w:w="1000" w:type="pct"/>
          </w:tcPr>
          <w:p>
            <w:pPr>
              <w:pStyle w:val="109"/>
              <w:widowControl w:val="0"/>
              <w:bidi w:val="0"/>
              <w:jc w:val="center"/>
              <w:rPr>
                <w:rFonts w:hint="default"/>
                <w:lang w:val="en-US" w:eastAsia="zh-CN"/>
              </w:rPr>
            </w:pPr>
            <w:r>
              <w:rPr>
                <w:rFonts w:hint="eastAsia"/>
                <w:lang w:val="en-US" w:eastAsia="zh-CN"/>
              </w:rPr>
              <w:t>500</w:t>
            </w:r>
          </w:p>
        </w:tc>
        <w:tc>
          <w:tcPr>
            <w:tcW w:w="1000" w:type="pct"/>
          </w:tcPr>
          <w:p>
            <w:pPr>
              <w:pStyle w:val="109"/>
              <w:widowControl w:val="0"/>
              <w:bidi w:val="0"/>
              <w:jc w:val="center"/>
              <w:rPr>
                <w:rFonts w:hint="default"/>
                <w:lang w:val="en-US" w:eastAsia="zh-CN"/>
              </w:rPr>
            </w:pPr>
            <w:r>
              <w:rPr>
                <w:rFonts w:hint="eastAsia"/>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kern w:val="0"/>
                <w:sz w:val="18"/>
                <w:szCs w:val="18"/>
                <w:lang w:val="en-US" w:eastAsia="zh-CN"/>
              </w:rPr>
              <w:t>出仁率</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eastAsia"/>
                <w:lang w:val="en-US" w:eastAsia="zh-CN"/>
              </w:rPr>
              <w:t xml:space="preserve"> </w:t>
            </w:r>
            <w:r>
              <w:rPr>
                <w:rFonts w:hint="default" w:ascii="Arial" w:hAnsi="Arial" w:cs="Arial"/>
                <w:lang w:val="en-US" w:eastAsia="zh-CN"/>
              </w:rPr>
              <w:t>≥</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35</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30</w:t>
            </w:r>
          </w:p>
        </w:tc>
        <w:tc>
          <w:tcPr>
            <w:tcW w:w="1000" w:type="pct"/>
          </w:tcPr>
          <w:p>
            <w:pPr>
              <w:pStyle w:val="109"/>
              <w:widowControl w:val="0"/>
              <w:bidi w:val="0"/>
              <w:jc w:val="center"/>
              <w:rPr>
                <w:rFonts w:hint="default"/>
                <w:lang w:val="en-US" w:eastAsia="zh-CN"/>
              </w:rPr>
            </w:pPr>
            <w:r>
              <w:rPr>
                <w:rFonts w:hint="eastAsia"/>
                <w:lang w:val="en-US" w:eastAsia="zh-CN"/>
              </w:rPr>
              <w:t>35</w:t>
            </w:r>
          </w:p>
        </w:tc>
        <w:tc>
          <w:tcPr>
            <w:tcW w:w="1000" w:type="pct"/>
          </w:tcPr>
          <w:p>
            <w:pPr>
              <w:pStyle w:val="109"/>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饱满程度/%</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85</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75</w:t>
            </w:r>
          </w:p>
        </w:tc>
        <w:tc>
          <w:tcPr>
            <w:tcW w:w="1000" w:type="pct"/>
          </w:tcPr>
          <w:p>
            <w:pPr>
              <w:pStyle w:val="109"/>
              <w:widowControl w:val="0"/>
              <w:bidi w:val="0"/>
              <w:jc w:val="center"/>
              <w:rPr>
                <w:rFonts w:hint="default"/>
                <w:lang w:val="en-US" w:eastAsia="zh-CN"/>
              </w:rPr>
            </w:pPr>
            <w:r>
              <w:rPr>
                <w:rFonts w:hint="eastAsia"/>
                <w:lang w:val="en-US" w:eastAsia="zh-CN"/>
              </w:rPr>
              <w:t>85</w:t>
            </w:r>
          </w:p>
        </w:tc>
        <w:tc>
          <w:tcPr>
            <w:tcW w:w="1000" w:type="pct"/>
          </w:tcPr>
          <w:p>
            <w:pPr>
              <w:pStyle w:val="109"/>
              <w:widowControl w:val="0"/>
              <w:bidi w:val="0"/>
              <w:jc w:val="center"/>
              <w:rPr>
                <w:rFonts w:hint="default"/>
                <w:lang w:val="en-US" w:eastAsia="zh-CN"/>
              </w:rPr>
            </w:pPr>
            <w:r>
              <w:rPr>
                <w:rFonts w:hint="eastAsia"/>
                <w:lang w:val="en-US" w:eastAsia="zh-CN"/>
              </w:rPr>
              <w:t>75</w:t>
            </w:r>
          </w:p>
        </w:tc>
      </w:tr>
    </w:tbl>
    <w:p>
      <w:pPr>
        <w:pStyle w:val="71"/>
        <w:bidi w:val="0"/>
        <w:rPr>
          <w:rFonts w:hint="eastAsia"/>
          <w:lang w:val="en-US" w:eastAsia="zh-CN"/>
        </w:rPr>
      </w:pPr>
      <w:bookmarkStart w:id="22" w:name="_Toc10342"/>
      <w:r>
        <w:rPr>
          <w:rFonts w:hint="eastAsia"/>
          <w:lang w:val="en-US" w:eastAsia="zh-CN"/>
        </w:rPr>
        <w:t>食品添加剂</w:t>
      </w:r>
      <w:bookmarkEnd w:id="22"/>
    </w:p>
    <w:p>
      <w:pPr>
        <w:pStyle w:val="23"/>
        <w:rPr>
          <w:rFonts w:hint="eastAsia"/>
          <w:lang w:val="en-US" w:eastAsia="zh-CN"/>
        </w:rPr>
      </w:pPr>
      <w:r>
        <w:rPr>
          <w:rFonts w:hint="eastAsia"/>
          <w:lang w:val="en-US" w:eastAsia="zh-CN"/>
        </w:rPr>
        <w:t>食品添加剂的使用应符合GB 2760 的规定。</w:t>
      </w:r>
    </w:p>
    <w:p>
      <w:pPr>
        <w:pStyle w:val="71"/>
        <w:bidi w:val="0"/>
        <w:rPr>
          <w:rFonts w:hint="eastAsia"/>
          <w:lang w:val="en-US" w:eastAsia="zh-CN"/>
        </w:rPr>
      </w:pPr>
      <w:bookmarkStart w:id="23" w:name="_Toc14049"/>
      <w:r>
        <w:rPr>
          <w:rFonts w:hint="eastAsia"/>
          <w:lang w:val="en-US" w:eastAsia="zh-CN"/>
        </w:rPr>
        <w:t>真菌毒素限量</w:t>
      </w:r>
      <w:bookmarkEnd w:id="23"/>
    </w:p>
    <w:p>
      <w:pPr>
        <w:pStyle w:val="23"/>
        <w:rPr>
          <w:rFonts w:hint="eastAsia"/>
          <w:lang w:val="en-US" w:eastAsia="zh-CN"/>
        </w:rPr>
      </w:pPr>
      <w:r>
        <w:rPr>
          <w:rFonts w:hint="eastAsia"/>
          <w:lang w:val="en-US" w:eastAsia="zh-CN"/>
        </w:rPr>
        <w:t>真菌毒素限量应符合GB 2761的规定。</w:t>
      </w:r>
    </w:p>
    <w:p>
      <w:pPr>
        <w:pStyle w:val="71"/>
        <w:spacing w:before="156" w:after="156"/>
        <w:ind w:left="0"/>
      </w:pPr>
      <w:bookmarkStart w:id="24" w:name="_Toc20109"/>
      <w:r>
        <w:rPr>
          <w:rFonts w:hint="eastAsia"/>
          <w:lang w:val="en-US" w:eastAsia="zh-CN"/>
        </w:rPr>
        <w:t>污染物限量</w:t>
      </w:r>
      <w:bookmarkEnd w:id="24"/>
    </w:p>
    <w:p>
      <w:pPr>
        <w:pStyle w:val="23"/>
      </w:pPr>
      <w:r>
        <w:rPr>
          <w:rFonts w:hint="eastAsia"/>
          <w:lang w:val="en-US" w:eastAsia="zh-CN"/>
        </w:rPr>
        <w:t>污染物限量应符合GB 2762 的规定。</w:t>
      </w:r>
    </w:p>
    <w:p>
      <w:pPr>
        <w:pStyle w:val="71"/>
        <w:spacing w:before="156" w:after="156"/>
        <w:ind w:left="0"/>
      </w:pPr>
      <w:bookmarkStart w:id="25" w:name="_Toc5854"/>
      <w:r>
        <w:rPr>
          <w:rFonts w:hint="eastAsia"/>
          <w:lang w:val="en-US" w:eastAsia="zh-CN"/>
        </w:rPr>
        <w:t>微生物限量</w:t>
      </w:r>
      <w:bookmarkEnd w:id="25"/>
    </w:p>
    <w:p>
      <w:pPr>
        <w:pStyle w:val="72"/>
        <w:bidi w:val="0"/>
        <w:rPr>
          <w:rFonts w:hint="default"/>
          <w:lang w:val="en-US" w:eastAsia="zh-CN"/>
        </w:rPr>
      </w:pPr>
      <w:r>
        <w:rPr>
          <w:rFonts w:hint="eastAsia" w:ascii="宋体" w:hAnsi="Times New Roman" w:eastAsia="宋体" w:cs="Times New Roman"/>
          <w:sz w:val="21"/>
          <w:lang w:val="en-US" w:eastAsia="zh-CN" w:bidi="ar-SA"/>
        </w:rPr>
        <w:t>致病菌限量应符合GB 29921 的规定。</w:t>
      </w:r>
    </w:p>
    <w:p>
      <w:pPr>
        <w:pStyle w:val="72"/>
        <w:bidi w:val="0"/>
        <w:rPr>
          <w:rFonts w:hint="default"/>
          <w:lang w:val="en-US" w:eastAsia="zh-CN"/>
        </w:rPr>
      </w:pPr>
      <w:r>
        <w:rPr>
          <w:rFonts w:hint="eastAsia" w:ascii="宋体" w:hAnsi="Times New Roman" w:eastAsia="宋体" w:cs="Times New Roman"/>
          <w:sz w:val="21"/>
          <w:lang w:val="en-US" w:eastAsia="zh-CN" w:bidi="ar-SA"/>
        </w:rPr>
        <w:t>微生物限量应符合GB 19300 的规定。</w:t>
      </w:r>
    </w:p>
    <w:p>
      <w:pPr>
        <w:pStyle w:val="71"/>
        <w:bidi w:val="0"/>
        <w:rPr>
          <w:rFonts w:hint="default"/>
          <w:lang w:val="en-US" w:eastAsia="zh-CN"/>
        </w:rPr>
      </w:pPr>
      <w:bookmarkStart w:id="26" w:name="_Toc17885"/>
      <w:r>
        <w:rPr>
          <w:rFonts w:hint="eastAsia"/>
          <w:lang w:val="en-US" w:eastAsia="zh-CN"/>
        </w:rPr>
        <w:t>净含量偏差</w:t>
      </w:r>
      <w:bookmarkEnd w:id="26"/>
    </w:p>
    <w:p>
      <w:pPr>
        <w:pStyle w:val="23"/>
        <w:rPr>
          <w:rFonts w:hint="default"/>
          <w:lang w:val="en-US"/>
        </w:rPr>
      </w:pPr>
      <w:r>
        <w:rPr>
          <w:rFonts w:hint="eastAsia"/>
          <w:lang w:val="en-US" w:eastAsia="zh-CN"/>
        </w:rPr>
        <w:t>净含量偏差应符合国家《定量包装商品计量监督管理办法》的规定。</w:t>
      </w:r>
    </w:p>
    <w:p>
      <w:pPr>
        <w:pStyle w:val="70"/>
        <w:bidi w:val="0"/>
        <w:rPr>
          <w:rFonts w:hint="default"/>
          <w:lang w:val="en-US" w:eastAsia="zh-CN"/>
        </w:rPr>
      </w:pPr>
      <w:bookmarkStart w:id="27" w:name="_Toc16186"/>
      <w:r>
        <w:rPr>
          <w:rFonts w:hint="eastAsia"/>
          <w:lang w:val="en-US" w:eastAsia="zh-CN"/>
        </w:rPr>
        <w:t>检验方法</w:t>
      </w:r>
      <w:bookmarkEnd w:id="27"/>
    </w:p>
    <w:p>
      <w:pPr>
        <w:pStyle w:val="71"/>
        <w:bidi w:val="0"/>
        <w:rPr>
          <w:rFonts w:hint="default"/>
          <w:lang w:val="en-US" w:eastAsia="zh-CN"/>
        </w:rPr>
      </w:pPr>
      <w:bookmarkStart w:id="28" w:name="_Toc9604"/>
      <w:r>
        <w:rPr>
          <w:rFonts w:hint="eastAsia"/>
          <w:lang w:val="en-US" w:eastAsia="zh-CN"/>
        </w:rPr>
        <w:t>感官检验</w:t>
      </w:r>
      <w:bookmarkEnd w:id="28"/>
    </w:p>
    <w:p>
      <w:pPr>
        <w:pStyle w:val="120"/>
        <w:keepNext w:val="0"/>
        <w:keepLines w:val="0"/>
        <w:pageBreakBefore w:val="0"/>
        <w:numPr>
          <w:ilvl w:val="1"/>
          <w:numId w:val="0"/>
        </w:numPr>
        <w:kinsoku/>
        <w:wordWrap/>
        <w:overflowPunct/>
        <w:topLinePunct w:val="0"/>
        <w:bidi w:val="0"/>
        <w:adjustRightInd/>
        <w:snapToGrid/>
        <w:spacing w:before="0" w:beforeLines="0" w:after="0" w:afterLines="0"/>
        <w:ind w:leftChars="0" w:firstLine="420" w:firstLineChars="200"/>
        <w:textAlignment w:val="auto"/>
        <w:rPr>
          <w:rFonts w:hint="eastAsia"/>
        </w:rPr>
      </w:pPr>
      <w:r>
        <w:rPr>
          <w:rFonts w:hint="eastAsia"/>
        </w:rPr>
        <w:t>在自然光或</w:t>
      </w:r>
      <w:r>
        <w:rPr>
          <w:rFonts w:hint="eastAsia" w:ascii="Times New Roman" w:hAnsi="Times New Roman" w:eastAsia="宋体" w:cs="Times New Roman"/>
          <w:kern w:val="2"/>
          <w:sz w:val="21"/>
          <w:szCs w:val="21"/>
          <w:lang w:val="en-US" w:eastAsia="zh-CN" w:bidi="ar-SA"/>
        </w:rPr>
        <w:t>20W的</w:t>
      </w:r>
      <w:r>
        <w:rPr>
          <w:rFonts w:hint="eastAsia"/>
        </w:rPr>
        <w:t>白炽灯下，将样品置于洁净、干燥的白瓷盘中，用目测检查色泽、颗粒形状和</w:t>
      </w:r>
    </w:p>
    <w:p>
      <w:pPr>
        <w:pStyle w:val="120"/>
        <w:keepNext w:val="0"/>
        <w:keepLines w:val="0"/>
        <w:pageBreakBefore w:val="0"/>
        <w:numPr>
          <w:ilvl w:val="1"/>
          <w:numId w:val="0"/>
        </w:numPr>
        <w:kinsoku/>
        <w:wordWrap/>
        <w:overflowPunct/>
        <w:topLinePunct w:val="0"/>
        <w:bidi w:val="0"/>
        <w:adjustRightInd/>
        <w:snapToGrid/>
        <w:spacing w:before="0" w:beforeLines="0" w:after="0" w:afterLines="0"/>
        <w:ind w:leftChars="0"/>
        <w:textAlignment w:val="auto"/>
        <w:rPr>
          <w:rFonts w:hint="eastAsia"/>
          <w:lang w:val="en-US" w:eastAsia="zh-CN"/>
        </w:rPr>
      </w:pPr>
      <w:r>
        <w:rPr>
          <w:rFonts w:hint="eastAsia"/>
        </w:rPr>
        <w:t>杂质</w:t>
      </w:r>
      <w:r>
        <w:rPr>
          <w:rFonts w:hint="eastAsia"/>
          <w:lang w:eastAsia="zh-CN"/>
        </w:rPr>
        <w:t>。</w:t>
      </w:r>
      <w:r>
        <w:rPr>
          <w:rFonts w:hint="eastAsia"/>
        </w:rPr>
        <w:t>将壳去除后用目测检查仁的色泽，嗅其气味、尝其滋味与口感。</w:t>
      </w:r>
      <w:r>
        <w:rPr>
          <w:rFonts w:hint="eastAsia"/>
          <w:lang w:val="en-US" w:eastAsia="zh-CN"/>
        </w:rPr>
        <w:t>霉变粒按照GB 19300的规定执行。</w:t>
      </w:r>
    </w:p>
    <w:p>
      <w:pPr>
        <w:pStyle w:val="71"/>
        <w:bidi w:val="0"/>
        <w:rPr>
          <w:rFonts w:hint="default"/>
          <w:lang w:val="en-US" w:eastAsia="zh-CN"/>
        </w:rPr>
      </w:pPr>
      <w:bookmarkStart w:id="29" w:name="_Toc2871"/>
      <w:r>
        <w:rPr>
          <w:rFonts w:hint="eastAsia"/>
          <w:lang w:val="en-US" w:eastAsia="zh-CN"/>
        </w:rPr>
        <w:t>理化指标</w:t>
      </w:r>
      <w:bookmarkEnd w:id="29"/>
    </w:p>
    <w:p>
      <w:pPr>
        <w:pStyle w:val="72"/>
        <w:bidi w:val="0"/>
        <w:rPr>
          <w:rFonts w:hint="default"/>
          <w:lang w:val="en-US" w:eastAsia="zh-CN"/>
        </w:rPr>
      </w:pPr>
      <w:r>
        <w:rPr>
          <w:rFonts w:hint="eastAsia"/>
          <w:lang w:val="en-US" w:eastAsia="zh-CN"/>
        </w:rPr>
        <w:t>水分</w:t>
      </w:r>
    </w:p>
    <w:p>
      <w:pPr>
        <w:pStyle w:val="23"/>
        <w:rPr>
          <w:rFonts w:hint="default"/>
          <w:lang w:val="en-US" w:eastAsia="zh-CN"/>
        </w:rPr>
      </w:pPr>
      <w:r>
        <w:rPr>
          <w:rFonts w:hint="default"/>
          <w:lang w:val="en-US" w:eastAsia="zh-CN"/>
        </w:rPr>
        <w:t>按GB 5009.3 的规定执行。</w:t>
      </w:r>
    </w:p>
    <w:p>
      <w:pPr>
        <w:pStyle w:val="72"/>
        <w:bidi w:val="0"/>
        <w:rPr>
          <w:rFonts w:hint="default"/>
          <w:lang w:val="en-US" w:eastAsia="zh-CN"/>
        </w:rPr>
      </w:pPr>
      <w:r>
        <w:rPr>
          <w:rFonts w:hint="eastAsia"/>
          <w:lang w:val="en-US" w:eastAsia="zh-CN"/>
        </w:rPr>
        <w:t>脂肪</w:t>
      </w:r>
    </w:p>
    <w:p>
      <w:pPr>
        <w:pStyle w:val="23"/>
        <w:ind w:firstLine="420"/>
        <w:rPr>
          <w:rFonts w:hint="eastAsia"/>
        </w:rPr>
      </w:pPr>
      <w:r>
        <w:rPr>
          <w:rFonts w:hint="eastAsia"/>
        </w:rPr>
        <w:t xml:space="preserve">按GB </w:t>
      </w:r>
      <w:r>
        <w:rPr>
          <w:rFonts w:hint="eastAsia"/>
          <w:lang w:val="en-US" w:eastAsia="zh-CN"/>
        </w:rPr>
        <w:t>5009.6 的规定执行</w:t>
      </w:r>
      <w:r>
        <w:rPr>
          <w:rFonts w:hint="eastAsia"/>
        </w:rPr>
        <w:t>。</w:t>
      </w:r>
    </w:p>
    <w:p>
      <w:pPr>
        <w:pStyle w:val="72"/>
        <w:bidi w:val="0"/>
        <w:rPr>
          <w:rFonts w:hint="default"/>
          <w:lang w:val="en-US" w:eastAsia="zh-CN"/>
        </w:rPr>
      </w:pPr>
      <w:r>
        <w:rPr>
          <w:rFonts w:hint="eastAsia"/>
          <w:lang w:val="en-US" w:eastAsia="zh-CN"/>
        </w:rPr>
        <w:t>酸价</w:t>
      </w:r>
    </w:p>
    <w:p>
      <w:pPr>
        <w:pStyle w:val="23"/>
        <w:ind w:firstLine="420"/>
        <w:rPr>
          <w:rFonts w:hint="eastAsia"/>
        </w:rPr>
      </w:pPr>
      <w:r>
        <w:rPr>
          <w:rFonts w:hint="eastAsia"/>
        </w:rPr>
        <w:t xml:space="preserve">按GB </w:t>
      </w:r>
      <w:r>
        <w:rPr>
          <w:rFonts w:hint="eastAsia"/>
          <w:lang w:val="en-US" w:eastAsia="zh-CN"/>
        </w:rPr>
        <w:t>5009.229 的规定执行</w:t>
      </w:r>
      <w:r>
        <w:rPr>
          <w:rFonts w:hint="eastAsia"/>
        </w:rPr>
        <w:t>。</w:t>
      </w:r>
    </w:p>
    <w:p>
      <w:pPr>
        <w:pStyle w:val="72"/>
        <w:bidi w:val="0"/>
        <w:rPr>
          <w:rFonts w:hint="default"/>
          <w:lang w:val="en-US" w:eastAsia="zh-CN"/>
        </w:rPr>
      </w:pPr>
      <w:r>
        <w:rPr>
          <w:rFonts w:hint="eastAsia"/>
          <w:lang w:val="en-US" w:eastAsia="zh-CN"/>
        </w:rPr>
        <w:t>过氧化值</w:t>
      </w:r>
    </w:p>
    <w:p>
      <w:pPr>
        <w:pStyle w:val="23"/>
        <w:ind w:firstLine="420"/>
        <w:rPr>
          <w:rFonts w:hint="eastAsia"/>
        </w:rPr>
      </w:pPr>
      <w:r>
        <w:rPr>
          <w:rFonts w:hint="eastAsia"/>
        </w:rPr>
        <w:t xml:space="preserve">按GB </w:t>
      </w:r>
      <w:r>
        <w:rPr>
          <w:rFonts w:hint="eastAsia"/>
          <w:lang w:val="en-US" w:eastAsia="zh-CN"/>
        </w:rPr>
        <w:t>5009.227 的规定执行</w:t>
      </w:r>
      <w:r>
        <w:rPr>
          <w:rFonts w:hint="eastAsia"/>
        </w:rPr>
        <w:t>。</w:t>
      </w:r>
    </w:p>
    <w:p>
      <w:pPr>
        <w:pStyle w:val="71"/>
        <w:bidi w:val="0"/>
        <w:rPr>
          <w:rFonts w:hint="default"/>
          <w:lang w:val="en-US" w:eastAsia="zh-CN"/>
        </w:rPr>
      </w:pPr>
      <w:bookmarkStart w:id="30" w:name="_Toc8543"/>
      <w:r>
        <w:rPr>
          <w:rFonts w:hint="eastAsia"/>
          <w:lang w:val="en-US" w:eastAsia="zh-CN"/>
        </w:rPr>
        <w:t>质量指标</w:t>
      </w:r>
      <w:bookmarkEnd w:id="30"/>
    </w:p>
    <w:p>
      <w:pPr>
        <w:pStyle w:val="72"/>
        <w:bidi w:val="0"/>
        <w:rPr>
          <w:rFonts w:hint="default"/>
          <w:lang w:val="en-US" w:eastAsia="zh-CN"/>
        </w:rPr>
      </w:pPr>
      <w:r>
        <w:rPr>
          <w:rFonts w:hint="eastAsia"/>
          <w:lang w:val="en-US" w:eastAsia="zh-CN"/>
        </w:rPr>
        <w:t>千粒重</w:t>
      </w:r>
    </w:p>
    <w:p>
      <w:pPr>
        <w:pStyle w:val="23"/>
        <w:rPr>
          <w:rFonts w:hint="eastAsia"/>
          <w:lang w:val="en-US" w:eastAsia="zh-CN"/>
        </w:rPr>
      </w:pPr>
      <w:r>
        <w:rPr>
          <w:rFonts w:hint="eastAsia"/>
          <w:lang w:val="en-US" w:eastAsia="zh-CN"/>
        </w:rPr>
        <w:t>随机取出大约500粒试样，挑出完整粒并称量（</w:t>
      </w:r>
      <w:r>
        <w:rPr>
          <w:rFonts w:hint="eastAsia"/>
          <w:i/>
          <w:iCs/>
          <w:lang w:val="en-US" w:eastAsia="zh-CN"/>
        </w:rPr>
        <w:t>m</w:t>
      </w:r>
      <w:r>
        <w:rPr>
          <w:rFonts w:hint="eastAsia"/>
          <w:i/>
          <w:iCs/>
          <w:vertAlign w:val="subscript"/>
          <w:lang w:val="en-US" w:eastAsia="zh-CN"/>
        </w:rPr>
        <w:t>1</w:t>
      </w:r>
      <w:r>
        <w:rPr>
          <w:rFonts w:hint="eastAsia"/>
          <w:lang w:val="en-US" w:eastAsia="zh-CN"/>
        </w:rPr>
        <w:t>），精确到0.01g；记录完整粒的粒数（</w:t>
      </w:r>
      <w:r>
        <w:rPr>
          <w:rFonts w:hint="eastAsia"/>
          <w:i/>
          <w:iCs/>
          <w:lang w:val="en-US" w:eastAsia="zh-CN"/>
        </w:rPr>
        <w:t>N</w:t>
      </w:r>
      <w:r>
        <w:rPr>
          <w:rFonts w:hint="eastAsia"/>
          <w:lang w:val="en-US" w:eastAsia="zh-CN"/>
        </w:rPr>
        <w:t>），则千粒重按式（1）计算：</w:t>
      </w:r>
    </w:p>
    <w:p>
      <w:pPr>
        <w:pStyle w:val="108"/>
        <w:bidi w:val="0"/>
        <w:rPr>
          <w:rFonts w:hint="eastAsia"/>
          <w:lang w:val="en-US" w:eastAsia="zh-CN"/>
        </w:rPr>
      </w:pPr>
      <w:r>
        <w:rPr>
          <w:rFonts w:hint="eastAsia"/>
          <w:lang w:val="en-US" w:eastAsia="zh-CN"/>
        </w:rPr>
        <w:tab/>
      </w:r>
      <w:r>
        <w:rPr>
          <w:rFonts w:hint="eastAsia"/>
          <w:position w:val="-24"/>
          <w:lang w:val="en-US" w:eastAsia="zh-CN"/>
        </w:rPr>
        <w:object>
          <v:shape id="_x0000_i1025" o:spt="75" type="#_x0000_t75" style="height:29pt;width:7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 Arabic  </w:instrText>
      </w:r>
      <w:r>
        <w:rPr>
          <w:rFonts w:hint="eastAsia"/>
          <w:lang w:val="en-US" w:eastAsia="zh-CN"/>
        </w:rPr>
        <w:fldChar w:fldCharType="end"/>
      </w:r>
      <w:r>
        <w:rPr>
          <w:rFonts w:hint="eastAsia"/>
          <w:lang w:val="en-US" w:eastAsia="zh-CN"/>
        </w:rPr>
        <w:t>)</w:t>
      </w:r>
    </w:p>
    <w:p>
      <w:pPr>
        <w:pStyle w:val="23"/>
        <w:bidi w:val="0"/>
        <w:rPr>
          <w:rFonts w:hint="eastAsia"/>
          <w:lang w:val="en-US" w:eastAsia="zh-CN"/>
        </w:rPr>
      </w:pPr>
      <w:r>
        <w:rPr>
          <w:rFonts w:hint="eastAsia"/>
          <w:lang w:val="en-US" w:eastAsia="zh-CN"/>
        </w:rPr>
        <w:t>式中：</w:t>
      </w:r>
    </w:p>
    <w:p>
      <w:pPr>
        <w:pStyle w:val="23"/>
        <w:bidi w:val="0"/>
        <w:rPr>
          <w:rFonts w:hint="eastAsia" w:hAnsi="宋体" w:cs="宋体"/>
          <w:vertAlign w:val="baseline"/>
          <w:lang w:val="en-US" w:eastAsia="zh-CN"/>
        </w:rPr>
      </w:pPr>
      <w:r>
        <w:rPr>
          <w:rFonts w:hint="eastAsia"/>
          <w:lang w:val="en-US" w:eastAsia="zh-CN"/>
        </w:rPr>
        <w:t>m</w:t>
      </w:r>
      <w:r>
        <w:rPr>
          <w:rFonts w:hint="eastAsia"/>
          <w:vertAlign w:val="subscript"/>
          <w:lang w:val="en-US" w:eastAsia="zh-CN"/>
        </w:rPr>
        <w:t>1</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千粒重，单位为克（g）；</w:t>
      </w:r>
    </w:p>
    <w:p>
      <w:pPr>
        <w:pStyle w:val="23"/>
        <w:bidi w:val="0"/>
        <w:rPr>
          <w:rFonts w:hint="eastAsia" w:hAnsi="宋体" w:cs="宋体"/>
          <w:vertAlign w:val="baseline"/>
          <w:lang w:val="en-US" w:eastAsia="zh-CN"/>
        </w:rPr>
      </w:pPr>
      <w:r>
        <w:rPr>
          <w:rFonts w:hint="eastAsia" w:hAnsi="宋体" w:cs="宋体"/>
          <w:vertAlign w:val="baseline"/>
          <w:lang w:val="en-US" w:eastAsia="zh-CN"/>
        </w:rPr>
        <w:t>m</w:t>
      </w:r>
      <w:r>
        <w:rPr>
          <w:rFonts w:hint="eastAsia" w:hAnsi="宋体" w:cs="宋体"/>
          <w:vertAlign w:val="subscript"/>
          <w:lang w:val="en-US" w:eastAsia="zh-CN"/>
        </w:rPr>
        <w:t>t</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完整粒的质量，单位为克（g）；</w:t>
      </w:r>
    </w:p>
    <w:p>
      <w:pPr>
        <w:pStyle w:val="23"/>
        <w:bidi w:val="0"/>
        <w:rPr>
          <w:rFonts w:hint="eastAsia" w:hAnsi="宋体" w:cs="宋体"/>
          <w:vertAlign w:val="baseline"/>
          <w:lang w:val="en-US" w:eastAsia="zh-CN"/>
        </w:rPr>
      </w:pPr>
      <w:r>
        <w:rPr>
          <w:rFonts w:hint="eastAsia" w:hAnsi="宋体" w:cs="宋体"/>
          <w:vertAlign w:val="baseline"/>
          <w:lang w:val="en-US" w:eastAsia="zh-CN"/>
        </w:rPr>
        <w:t>N</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m</w:t>
      </w:r>
      <w:r>
        <w:rPr>
          <w:rFonts w:hint="eastAsia" w:hAnsi="宋体" w:cs="宋体"/>
          <w:vertAlign w:val="subscript"/>
          <w:lang w:val="en-US" w:eastAsia="zh-CN"/>
        </w:rPr>
        <w:t>t</w:t>
      </w:r>
      <w:r>
        <w:rPr>
          <w:rFonts w:hint="eastAsia" w:hAnsi="宋体" w:cs="宋体"/>
          <w:vertAlign w:val="baseline"/>
          <w:lang w:val="en-US" w:eastAsia="zh-CN"/>
        </w:rPr>
        <w:t>质量中完整粒的粒数。</w:t>
      </w:r>
    </w:p>
    <w:p>
      <w:pPr>
        <w:pStyle w:val="72"/>
        <w:bidi w:val="0"/>
        <w:rPr>
          <w:rFonts w:hint="default"/>
          <w:lang w:val="en-US" w:eastAsia="zh-CN"/>
        </w:rPr>
      </w:pPr>
      <w:r>
        <w:rPr>
          <w:rFonts w:hint="eastAsia"/>
          <w:lang w:val="en-US" w:eastAsia="zh-CN"/>
        </w:rPr>
        <w:t>出仁率</w:t>
      </w:r>
    </w:p>
    <w:p>
      <w:pPr>
        <w:pStyle w:val="23"/>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 的规定执行</w:t>
      </w:r>
      <w:r>
        <w:rPr>
          <w:rFonts w:hint="eastAsia"/>
        </w:rPr>
        <w:t>。</w:t>
      </w:r>
    </w:p>
    <w:p>
      <w:pPr>
        <w:pStyle w:val="72"/>
        <w:bidi w:val="0"/>
        <w:rPr>
          <w:rFonts w:hint="default"/>
          <w:lang w:val="en-US" w:eastAsia="zh-CN"/>
        </w:rPr>
      </w:pPr>
      <w:r>
        <w:rPr>
          <w:rFonts w:hint="eastAsia"/>
          <w:lang w:val="en-US" w:eastAsia="zh-CN"/>
        </w:rPr>
        <w:t>饱满程度</w:t>
      </w:r>
    </w:p>
    <w:p>
      <w:pPr>
        <w:pStyle w:val="23"/>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 的规定执行</w:t>
      </w:r>
      <w:r>
        <w:rPr>
          <w:rFonts w:hint="eastAsia"/>
        </w:rPr>
        <w:t>。</w:t>
      </w:r>
    </w:p>
    <w:p>
      <w:pPr>
        <w:pStyle w:val="70"/>
        <w:bidi w:val="0"/>
        <w:rPr>
          <w:rFonts w:hint="default"/>
          <w:lang w:val="en-US" w:eastAsia="zh-CN"/>
        </w:rPr>
      </w:pPr>
      <w:bookmarkStart w:id="31" w:name="_Toc5712"/>
      <w:r>
        <w:rPr>
          <w:rFonts w:hint="eastAsia"/>
          <w:lang w:val="en-US" w:eastAsia="zh-CN"/>
        </w:rPr>
        <w:t>检验规则</w:t>
      </w:r>
      <w:bookmarkEnd w:id="31"/>
    </w:p>
    <w:p>
      <w:pPr>
        <w:pStyle w:val="71"/>
        <w:bidi w:val="0"/>
        <w:rPr>
          <w:rFonts w:hint="default"/>
          <w:lang w:val="en-US" w:eastAsia="zh-CN"/>
        </w:rPr>
      </w:pPr>
      <w:bookmarkStart w:id="32" w:name="_Toc10667"/>
      <w:r>
        <w:rPr>
          <w:rFonts w:hint="eastAsia"/>
          <w:lang w:val="en-US" w:eastAsia="zh-CN"/>
        </w:rPr>
        <w:t>出厂检验</w:t>
      </w:r>
      <w:bookmarkEnd w:id="32"/>
    </w:p>
    <w:p>
      <w:pPr>
        <w:pStyle w:val="72"/>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2"/>
        <w:bidi w:val="0"/>
        <w:rPr>
          <w:rFonts w:hint="default"/>
          <w:lang w:val="en-US" w:eastAsia="zh-CN"/>
        </w:rPr>
      </w:pPr>
      <w:r>
        <w:rPr>
          <w:rFonts w:hint="eastAsia" w:ascii="宋体" w:hAnsi="宋体" w:eastAsia="宋体" w:cs="宋体"/>
          <w:lang w:val="en-US" w:eastAsia="zh-CN"/>
        </w:rPr>
        <w:t>检验项目为感官要求，理化指标中的水分、出仁率、空壳率、缺陷果率、缺陷果仁率、杂质，净含量。</w:t>
      </w:r>
    </w:p>
    <w:p>
      <w:pPr>
        <w:pStyle w:val="71"/>
        <w:bidi w:val="0"/>
        <w:rPr>
          <w:rFonts w:hint="default"/>
          <w:lang w:val="en-US" w:eastAsia="zh-CN"/>
        </w:rPr>
      </w:pPr>
      <w:bookmarkStart w:id="33" w:name="_Toc4033"/>
      <w:r>
        <w:rPr>
          <w:rFonts w:hint="eastAsia"/>
          <w:lang w:val="en-US" w:eastAsia="zh-CN"/>
        </w:rPr>
        <w:t>型式检验</w:t>
      </w:r>
      <w:bookmarkEnd w:id="33"/>
    </w:p>
    <w:p>
      <w:pPr>
        <w:pStyle w:val="72"/>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rPr>
        <w:t>要求中规定的全部项目。有下列情况之一时，亦应进行</w:t>
      </w:r>
      <w:r>
        <w:rPr>
          <w:rFonts w:hint="eastAsia" w:ascii="宋体" w:hAnsi="宋体" w:eastAsia="宋体"/>
          <w:lang w:eastAsia="zh-CN"/>
        </w:rPr>
        <w:t>：</w:t>
      </w:r>
    </w:p>
    <w:p>
      <w:pPr>
        <w:pStyle w:val="23"/>
        <w:rPr>
          <w:rFonts w:hint="default"/>
          <w:lang w:val="en-US" w:eastAsia="zh-CN"/>
        </w:rPr>
      </w:pPr>
      <w:r>
        <w:rPr>
          <w:rFonts w:hint="default"/>
          <w:lang w:val="en-US" w:eastAsia="zh-CN"/>
        </w:rPr>
        <w:t>a）工艺或原料发生重大改变时；</w:t>
      </w:r>
    </w:p>
    <w:p>
      <w:pPr>
        <w:pStyle w:val="23"/>
        <w:rPr>
          <w:rFonts w:hint="default"/>
          <w:lang w:val="en-US" w:eastAsia="zh-CN"/>
        </w:rPr>
      </w:pPr>
      <w:r>
        <w:rPr>
          <w:rFonts w:hint="default"/>
          <w:lang w:val="en-US" w:eastAsia="zh-CN"/>
        </w:rPr>
        <w:t>b）客户有型式检验要求时；</w:t>
      </w:r>
    </w:p>
    <w:p>
      <w:pPr>
        <w:pStyle w:val="23"/>
        <w:rPr>
          <w:rFonts w:hint="default"/>
          <w:lang w:val="en-US" w:eastAsia="zh-CN"/>
        </w:rPr>
      </w:pPr>
      <w:r>
        <w:rPr>
          <w:rFonts w:hint="default"/>
          <w:lang w:val="en-US" w:eastAsia="zh-CN"/>
        </w:rPr>
        <w:t>c）供需双方对产品质量有争议，请第三方进行仲裁时；</w:t>
      </w:r>
    </w:p>
    <w:p>
      <w:pPr>
        <w:pStyle w:val="23"/>
        <w:rPr>
          <w:rFonts w:hint="default"/>
          <w:lang w:val="en-US" w:eastAsia="zh-CN"/>
        </w:rPr>
      </w:pPr>
      <w:r>
        <w:rPr>
          <w:rFonts w:hint="default"/>
          <w:lang w:val="en-US" w:eastAsia="zh-CN"/>
        </w:rPr>
        <w:t>d）国家质量监督机构提出要求时。</w:t>
      </w:r>
    </w:p>
    <w:p>
      <w:pPr>
        <w:pStyle w:val="71"/>
        <w:bidi w:val="0"/>
        <w:rPr>
          <w:rFonts w:hint="default"/>
          <w:lang w:val="en-US" w:eastAsia="zh-CN"/>
        </w:rPr>
      </w:pPr>
      <w:bookmarkStart w:id="34" w:name="_Toc22782"/>
      <w:r>
        <w:rPr>
          <w:rFonts w:hint="eastAsia"/>
          <w:lang w:val="en-US" w:eastAsia="zh-CN"/>
        </w:rPr>
        <w:t>组批与抽样</w:t>
      </w:r>
      <w:bookmarkEnd w:id="34"/>
    </w:p>
    <w:p>
      <w:pPr>
        <w:pStyle w:val="23"/>
        <w:rPr>
          <w:rFonts w:hint="eastAsia"/>
          <w:lang w:val="en-US" w:eastAsia="zh-CN"/>
        </w:rPr>
      </w:pPr>
      <w:r>
        <w:rPr>
          <w:rFonts w:hint="default"/>
          <w:lang w:val="en-US" w:eastAsia="zh-CN"/>
        </w:rPr>
        <w:t>以同一班次生产的同一品种、同一规格</w:t>
      </w:r>
      <w:r>
        <w:rPr>
          <w:rFonts w:hint="eastAsia"/>
          <w:lang w:val="en-US" w:eastAsia="zh-CN"/>
        </w:rPr>
        <w:t>、相同质量等级</w:t>
      </w:r>
      <w:r>
        <w:rPr>
          <w:rFonts w:hint="default"/>
          <w:lang w:val="en-US" w:eastAsia="zh-CN"/>
        </w:rPr>
        <w:t>的产品为一批</w:t>
      </w:r>
      <w:r>
        <w:rPr>
          <w:rFonts w:hint="eastAsia"/>
          <w:lang w:val="en-US" w:eastAsia="zh-CN"/>
        </w:rPr>
        <w:t>，从每批产品不同部位随机抽取不少于2kg。</w:t>
      </w:r>
    </w:p>
    <w:p>
      <w:pPr>
        <w:pStyle w:val="71"/>
        <w:bidi w:val="0"/>
        <w:rPr>
          <w:rFonts w:hint="default"/>
          <w:lang w:val="en-US" w:eastAsia="zh-CN"/>
        </w:rPr>
      </w:pPr>
      <w:bookmarkStart w:id="35" w:name="_Toc14078"/>
      <w:r>
        <w:rPr>
          <w:rFonts w:hint="eastAsia"/>
          <w:lang w:val="en-US" w:eastAsia="zh-CN"/>
        </w:rPr>
        <w:t>判定规则</w:t>
      </w:r>
      <w:bookmarkEnd w:id="35"/>
    </w:p>
    <w:p>
      <w:pPr>
        <w:pStyle w:val="23"/>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、微生物</w:t>
      </w:r>
      <w:r>
        <w:rPr>
          <w:rFonts w:hint="eastAsia"/>
          <w:lang w:eastAsia="zh-CN"/>
        </w:rPr>
        <w:t>限量</w:t>
      </w:r>
      <w:r>
        <w:rPr>
          <w:rFonts w:hint="eastAsia"/>
        </w:rPr>
        <w:t>指标不得复检。</w:t>
      </w:r>
    </w:p>
    <w:p>
      <w:pPr>
        <w:pStyle w:val="70"/>
        <w:bidi w:val="0"/>
        <w:rPr>
          <w:rFonts w:hint="eastAsia"/>
        </w:rPr>
      </w:pPr>
      <w:bookmarkStart w:id="36" w:name="_Toc11078"/>
      <w:r>
        <w:rPr>
          <w:rFonts w:hint="eastAsia"/>
          <w:lang w:val="en-US" w:eastAsia="zh-CN"/>
        </w:rPr>
        <w:t>标签、</w:t>
      </w:r>
      <w:r>
        <w:rPr>
          <w:rFonts w:hint="eastAsia"/>
        </w:rPr>
        <w:t>标志、包装、运输、贮存</w:t>
      </w:r>
      <w:bookmarkEnd w:id="36"/>
    </w:p>
    <w:p>
      <w:pPr>
        <w:pStyle w:val="71"/>
        <w:bidi w:val="0"/>
        <w:rPr>
          <w:rFonts w:hint="eastAsia"/>
        </w:rPr>
      </w:pPr>
      <w:bookmarkStart w:id="37" w:name="_Toc12614"/>
      <w:r>
        <w:rPr>
          <w:rFonts w:hint="eastAsia"/>
          <w:lang w:val="en-US" w:eastAsia="zh-CN"/>
        </w:rPr>
        <w:t>标签、标志</w:t>
      </w:r>
      <w:bookmarkEnd w:id="37"/>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eastAsia="zh-CN"/>
        </w:rPr>
      </w:pPr>
      <w:bookmarkStart w:id="38" w:name="_Toc3501"/>
      <w:r>
        <w:rPr>
          <w:rFonts w:hint="eastAsia"/>
          <w:lang w:val="en-US" w:eastAsia="zh-CN"/>
        </w:rPr>
        <w:t>包装</w:t>
      </w:r>
      <w:bookmarkEnd w:id="38"/>
    </w:p>
    <w:p>
      <w:pPr>
        <w:pStyle w:val="23"/>
        <w:rPr>
          <w:rFonts w:hint="eastAsia"/>
          <w:lang w:eastAsia="zh-CN"/>
        </w:rPr>
      </w:pPr>
      <w:r>
        <w:rPr>
          <w:rFonts w:hint="eastAsia"/>
          <w:lang w:eastAsia="zh-CN"/>
        </w:rPr>
        <w:t>包装应符合GB</w:t>
      </w:r>
      <w:r>
        <w:rPr>
          <w:rFonts w:hint="eastAsia"/>
          <w:lang w:val="en-US" w:eastAsia="zh-CN"/>
        </w:rPr>
        <w:t>9683</w:t>
      </w:r>
      <w:r>
        <w:rPr>
          <w:rFonts w:hint="eastAsia"/>
          <w:lang w:eastAsia="zh-CN"/>
        </w:rPr>
        <w:t>的规定。外包装采用瓦楞纸箱包装，质量应符合GB/T 6543的规定。</w:t>
      </w:r>
    </w:p>
    <w:p>
      <w:pPr>
        <w:pStyle w:val="71"/>
        <w:bidi w:val="0"/>
        <w:rPr>
          <w:rFonts w:hint="eastAsia"/>
          <w:lang w:eastAsia="zh-CN"/>
        </w:rPr>
      </w:pPr>
      <w:bookmarkStart w:id="39" w:name="_Toc10361"/>
      <w:r>
        <w:rPr>
          <w:rFonts w:hint="eastAsia"/>
          <w:lang w:val="en-US" w:eastAsia="zh-CN"/>
        </w:rPr>
        <w:t>运输</w:t>
      </w:r>
      <w:bookmarkEnd w:id="39"/>
    </w:p>
    <w:p>
      <w:pPr>
        <w:pStyle w:val="23"/>
        <w:rPr>
          <w:rFonts w:hint="default"/>
          <w:lang w:val="en-US" w:eastAsia="zh-CN"/>
        </w:rPr>
      </w:pPr>
      <w:r>
        <w:rPr>
          <w:rFonts w:hint="eastAsia"/>
          <w:lang w:eastAsia="zh-CN"/>
        </w:rPr>
        <w:t>运输工具</w:t>
      </w:r>
      <w:r>
        <w:rPr>
          <w:rFonts w:hint="eastAsia"/>
          <w:lang w:val="en-US" w:eastAsia="zh-CN"/>
        </w:rPr>
        <w:t>应</w:t>
      </w:r>
      <w:r>
        <w:rPr>
          <w:rFonts w:hint="eastAsia"/>
          <w:lang w:eastAsia="zh-CN"/>
        </w:rPr>
        <w:t>清洁、防潮、防雨。</w:t>
      </w:r>
      <w:r>
        <w:rPr>
          <w:rFonts w:hint="eastAsia"/>
          <w:lang w:val="en-US" w:eastAsia="zh-CN"/>
        </w:rPr>
        <w:t>运输过程中应轻装、轻卸，避免发生挤压、撞击。</w:t>
      </w:r>
    </w:p>
    <w:p>
      <w:pPr>
        <w:pStyle w:val="71"/>
        <w:bidi w:val="0"/>
        <w:rPr>
          <w:rFonts w:hint="default"/>
          <w:highlight w:val="none"/>
          <w:lang w:val="en-US" w:eastAsia="zh-CN"/>
        </w:rPr>
      </w:pPr>
      <w:bookmarkStart w:id="40" w:name="_Toc5762"/>
      <w:r>
        <w:rPr>
          <w:rFonts w:hint="eastAsia"/>
          <w:highlight w:val="none"/>
          <w:lang w:val="en-US" w:eastAsia="zh-CN"/>
        </w:rPr>
        <w:t>贮存</w:t>
      </w:r>
      <w:bookmarkEnd w:id="40"/>
    </w:p>
    <w:p>
      <w:pPr>
        <w:pStyle w:val="72"/>
        <w:numPr>
          <w:ilvl w:val="2"/>
          <w:numId w:val="0"/>
        </w:numPr>
        <w:bidi w:val="0"/>
        <w:ind w:leftChars="0" w:firstLine="420" w:firstLineChars="200"/>
        <w:rPr>
          <w:rFonts w:hint="default" w:ascii="微软雅黑" w:hAnsi="微软雅黑" w:eastAsia="微软雅黑" w:cs="微软雅黑"/>
          <w:vertAlign w:val="baseline"/>
          <w:lang w:val="en-US" w:eastAsia="zh-CN"/>
        </w:rPr>
      </w:pPr>
      <w:r>
        <w:rPr>
          <w:rFonts w:hint="eastAsia" w:ascii="宋体" w:hAnsi="宋体" w:eastAsia="宋体" w:cs="宋体"/>
          <w:lang w:val="en-US" w:eastAsia="zh-CN"/>
        </w:rPr>
        <w:t>应贮存于凉爽库房或冷藏库，地面铺设枕木。严禁与有毒、有异味和易于传播虫害的物品混合存放，防止虫害、鼠害。保质期12个月。</w:t>
      </w:r>
      <w:bookmarkStart w:id="41" w:name="_GoBack"/>
      <w:bookmarkEnd w:id="41"/>
    </w:p>
    <w:p>
      <w:pPr>
        <w:pStyle w:val="110"/>
        <w:bidi w:val="0"/>
        <w:rPr>
          <w:rFonts w:hint="default"/>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val="en-US" w:eastAsia="zh-CN"/>
      </w:rPr>
    </w:pPr>
    <w:r>
      <w:rPr>
        <w:rFonts w:hint="eastAsia"/>
        <w:lang w:val="en-US"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1463B"/>
    <w:multiLevelType w:val="multilevel"/>
    <w:tmpl w:val="87E1463B"/>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DD75CD0"/>
    <w:multiLevelType w:val="multilevel"/>
    <w:tmpl w:val="8DD75CD0"/>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9514DF9"/>
    <w:multiLevelType w:val="multilevel"/>
    <w:tmpl w:val="99514DF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E2A4972"/>
    <w:multiLevelType w:val="multilevel"/>
    <w:tmpl w:val="BE2A4972"/>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F7EE3D7"/>
    <w:multiLevelType w:val="multilevel"/>
    <w:tmpl w:val="BF7EE3D7"/>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FA227E3"/>
    <w:multiLevelType w:val="multilevel"/>
    <w:tmpl w:val="BFA227E3"/>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A388153"/>
    <w:multiLevelType w:val="multilevel"/>
    <w:tmpl w:val="CA388153"/>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F35C4E0"/>
    <w:multiLevelType w:val="multilevel"/>
    <w:tmpl w:val="CF35C4E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DC81DA5F"/>
    <w:multiLevelType w:val="multilevel"/>
    <w:tmpl w:val="DC81DA5F"/>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E9566282"/>
    <w:multiLevelType w:val="multilevel"/>
    <w:tmpl w:val="E9566282"/>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FC0F151B"/>
    <w:multiLevelType w:val="multilevel"/>
    <w:tmpl w:val="FC0F151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1A446730"/>
    <w:multiLevelType w:val="multilevel"/>
    <w:tmpl w:val="1A446730"/>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38CDEF3"/>
    <w:multiLevelType w:val="multilevel"/>
    <w:tmpl w:val="238CDEF3"/>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2C430188"/>
    <w:multiLevelType w:val="multilevel"/>
    <w:tmpl w:val="2C430188"/>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32E5DA1A"/>
    <w:multiLevelType w:val="multilevel"/>
    <w:tmpl w:val="32E5DA1A"/>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4"/>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2471819"/>
    <w:multiLevelType w:val="multilevel"/>
    <w:tmpl w:val="72471819"/>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9141951"/>
    <w:multiLevelType w:val="multilevel"/>
    <w:tmpl w:val="79141951"/>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0"/>
  </w:num>
  <w:num w:numId="3">
    <w:abstractNumId w:val="7"/>
  </w:num>
  <w:num w:numId="4">
    <w:abstractNumId w:val="18"/>
  </w:num>
  <w:num w:numId="5">
    <w:abstractNumId w:val="4"/>
  </w:num>
  <w:num w:numId="6">
    <w:abstractNumId w:val="0"/>
  </w:num>
  <w:num w:numId="7">
    <w:abstractNumId w:val="14"/>
  </w:num>
  <w:num w:numId="8">
    <w:abstractNumId w:val="6"/>
  </w:num>
  <w:num w:numId="9">
    <w:abstractNumId w:val="13"/>
  </w:num>
  <w:num w:numId="10">
    <w:abstractNumId w:val="9"/>
  </w:num>
  <w:num w:numId="11">
    <w:abstractNumId w:val="15"/>
  </w:num>
  <w:num w:numId="12">
    <w:abstractNumId w:val="1"/>
  </w:num>
  <w:num w:numId="13">
    <w:abstractNumId w:val="5"/>
  </w:num>
  <w:num w:numId="14">
    <w:abstractNumId w:val="17"/>
  </w:num>
  <w:num w:numId="15">
    <w:abstractNumId w:val="3"/>
  </w:num>
  <w:num w:numId="16">
    <w:abstractNumId w:val="11"/>
  </w:num>
  <w:num w:numId="17">
    <w:abstractNumId w:val="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zcxY2Q4ZDQ0MDFmYWRhY2I4M2ZkODExZTBhZDcifQ=="/>
  </w:docVars>
  <w:rsids>
    <w:rsidRoot w:val="34EC042D"/>
    <w:rsid w:val="00806C4B"/>
    <w:rsid w:val="00D10A8B"/>
    <w:rsid w:val="01BD5047"/>
    <w:rsid w:val="03D50DD9"/>
    <w:rsid w:val="0877628D"/>
    <w:rsid w:val="0C4853E3"/>
    <w:rsid w:val="16E337D3"/>
    <w:rsid w:val="1C0A2641"/>
    <w:rsid w:val="1DAF27F7"/>
    <w:rsid w:val="211F3735"/>
    <w:rsid w:val="29DB01C2"/>
    <w:rsid w:val="2C407546"/>
    <w:rsid w:val="2F9F2B00"/>
    <w:rsid w:val="32FD1FBF"/>
    <w:rsid w:val="33C40EC2"/>
    <w:rsid w:val="34EC042D"/>
    <w:rsid w:val="36BA5139"/>
    <w:rsid w:val="408B16E9"/>
    <w:rsid w:val="42D860A9"/>
    <w:rsid w:val="44ED05C5"/>
    <w:rsid w:val="49574BFD"/>
    <w:rsid w:val="49C76B39"/>
    <w:rsid w:val="55D87E81"/>
    <w:rsid w:val="5CC84238"/>
    <w:rsid w:val="5E635D67"/>
    <w:rsid w:val="624A1AA9"/>
    <w:rsid w:val="62BF2B37"/>
    <w:rsid w:val="638C5F0B"/>
    <w:rsid w:val="649956E5"/>
    <w:rsid w:val="682E2116"/>
    <w:rsid w:val="6FF115A2"/>
    <w:rsid w:val="727662A7"/>
    <w:rsid w:val="75C651DB"/>
    <w:rsid w:val="7D80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63">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9"/>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一级无"/>
    <w:basedOn w:val="121"/>
    <w:qFormat/>
    <w:uiPriority w:val="0"/>
    <w:pPr>
      <w:spacing w:beforeLines="0" w:afterLines="0"/>
    </w:pPr>
    <w:rPr>
      <w:rFonts w:ascii="宋体" w:hAnsi="宋体" w:eastAsia="宋体"/>
    </w:rPr>
  </w:style>
  <w:style w:type="paragraph" w:customStyle="1" w:styleId="121">
    <w:name w:val="一级条标题"/>
    <w:next w:val="119"/>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2">
    <w:name w:val="三级条标题"/>
    <w:basedOn w:val="123"/>
    <w:next w:val="119"/>
    <w:qFormat/>
    <w:uiPriority w:val="0"/>
    <w:pPr>
      <w:outlineLvl w:val="4"/>
    </w:pPr>
  </w:style>
  <w:style w:type="paragraph" w:customStyle="1" w:styleId="123">
    <w:name w:val="二级条标题"/>
    <w:basedOn w:val="121"/>
    <w:next w:val="119"/>
    <w:qFormat/>
    <w:uiPriority w:val="0"/>
    <w:pPr>
      <w:numPr>
        <w:ilvl w:val="2"/>
        <w:numId w:val="18"/>
      </w:numPr>
      <w:spacing w:before="50" w:after="50"/>
      <w:outlineLvl w:val="3"/>
    </w:pPr>
  </w:style>
  <w:style w:type="paragraph" w:customStyle="1" w:styleId="124">
    <w:name w:val="章标题"/>
    <w:next w:val="119"/>
    <w:qFormat/>
    <w:uiPriority w:val="2441"/>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a295b7-9e4f-4591-8422-33aa79e098a3}"/>
        <w:style w:val=""/>
        <w:category>
          <w:name w:val="常规"/>
          <w:gallery w:val="placeholder"/>
        </w:category>
        <w:types>
          <w:type w:val="bbPlcHdr"/>
        </w:types>
        <w:behaviors>
          <w:behavior w:val="content"/>
        </w:behaviors>
        <w:description w:val=""/>
        <w:guid w:val="{69a295b7-9e4f-4591-8422-33aa79e098a3}"/>
      </w:docPartPr>
      <w:docPartBody>
        <w:p>
          <w:r>
            <w:rPr>
              <w:color w:val="808080"/>
            </w:rPr>
            <w:t>选择一项。</w:t>
          </w:r>
        </w:p>
      </w:docPartBody>
    </w:docPart>
    <w:docPart>
      <w:docPartPr>
        <w:name w:val="{770ca80c-c834-4f55-9eb8-66439144759e}"/>
        <w:style w:val=""/>
        <w:category>
          <w:name w:val="常规"/>
          <w:gallery w:val="placeholder"/>
        </w:category>
        <w:types>
          <w:type w:val="bbPlcHdr"/>
        </w:types>
        <w:behaviors>
          <w:behavior w:val="content"/>
        </w:behaviors>
        <w:description w:val=""/>
        <w:guid w:val="{770ca80c-c834-4f55-9eb8-66439144759e}"/>
      </w:docPartPr>
      <w:docPartBody>
        <w:p>
          <w:r>
            <w:rPr>
              <w:color w:val="808080"/>
            </w:rPr>
            <w:t>选择一项。</w:t>
          </w:r>
        </w:p>
      </w:docPartBody>
    </w:docPart>
    <w:docPart>
      <w:docPartPr>
        <w:name w:val="{d0b3dde0-3348-4b75-a51f-86710826f3b1}"/>
        <w:style w:val=""/>
        <w:category>
          <w:name w:val="常规"/>
          <w:gallery w:val="placeholder"/>
        </w:category>
        <w:types>
          <w:type w:val="bbPlcHdr"/>
        </w:types>
        <w:behaviors>
          <w:behavior w:val="content"/>
        </w:behaviors>
        <w:description w:val=""/>
        <w:guid w:val="{d0b3dde0-3348-4b75-a51f-86710826f3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2023-09-08T02:27:00Z</dcterms:created>
  <dc:creator>蔡明</dc:creator>
  <cp:lastModifiedBy>霍辽西</cp:lastModifiedBy>
  <cp:lastPrinted>2023-09-12T06:24:00Z</cp:lastPrinted>
  <dcterms:modified xsi:type="dcterms:W3CDTF">2023-10-10T08:05:43Z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C845C96F442F420FBAEC76EE6ECB96C1_11</vt:lpwstr>
  </property>
</Properties>
</file>