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bidi w:val="0"/>
        <w:rPr>
          <w:rFonts w:hint="eastAsia"/>
          <w:lang w:val="en-US" w:eastAsia="zh-CN"/>
        </w:rPr>
      </w:pPr>
      <w:r>
        <w:rPr>
          <w:rFonts w:hint="eastAsia"/>
          <w:lang w:val="en-US" w:eastAsia="zh-CN"/>
        </w:rPr>
        <w:t>本溪市地方标准</w:t>
      </w:r>
    </w:p>
    <w:p>
      <w:pPr>
        <w:pStyle w:val="39"/>
        <w:bidi w:val="0"/>
        <w:rPr>
          <w:rFonts w:hint="eastAsia"/>
          <w:lang w:val="en-US" w:eastAsia="zh-CN"/>
        </w:rPr>
      </w:pPr>
      <w:r>
        <w:rPr>
          <w:rFonts w:hint="eastAsia"/>
          <w:lang w:val="en-US" w:eastAsia="zh-CN"/>
        </w:rPr>
        <w:fldChar w:fldCharType="begin">
          <w:ffData>
            <w:name w:val="StandNo"/>
            <w:enabled/>
            <w:calcOnExit w:val="0"/>
            <w:textInput>
              <w:default w:val="DBXX/T XXX—XXXX"/>
            </w:textInput>
          </w:ffData>
        </w:fldChar>
      </w:r>
      <w:bookmarkStart w:id="0"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DBXX/T XXX—XXXX</w:t>
      </w:r>
      <w:r>
        <w:rPr>
          <w:rFonts w:hint="eastAsia"/>
          <w:lang w:val="en-US" w:eastAsia="zh-CN"/>
        </w:rPr>
        <w:fldChar w:fldCharType="end"/>
      </w:r>
      <w:bookmarkEnd w:id="0"/>
    </w:p>
    <w:p>
      <w:pPr>
        <w:pStyle w:val="38"/>
        <w:bidi w:val="0"/>
        <w:rPr>
          <w:rFonts w:hint="eastAsia"/>
          <w:lang w:val="en-US" w:eastAsia="zh-CN"/>
        </w:rPr>
      </w:pPr>
      <w:r>
        <w:rPr>
          <w:rFonts w:hint="eastAsia"/>
          <w:lang w:val="en-US" w:eastAsia="zh-CN"/>
        </w:rPr>
        <w:fldChar w:fldCharType="begin">
          <w:ffData>
            <w:name w:val="ReplaceDB"/>
            <w:enabled/>
            <w:calcOnExit w:val="0"/>
            <w:textInput/>
          </w:ffData>
        </w:fldChar>
      </w:r>
      <w:bookmarkStart w:id="1"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1"/>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3"/>
              <w:widowControl w:val="0"/>
              <w:bidi w:val="0"/>
              <w:jc w:val="both"/>
              <w:rPr>
                <w:rFonts w:hint="eastAsia"/>
                <w:sz w:val="10"/>
                <w:vertAlign w:val="baseline"/>
                <w:lang w:val="en-US" w:eastAsia="zh-CN"/>
              </w:rPr>
            </w:pPr>
          </w:p>
        </w:tc>
      </w:tr>
    </w:tbl>
    <w:p>
      <w:pPr>
        <w:pStyle w:val="40"/>
        <w:bidi w:val="0"/>
        <w:rPr>
          <w:rFonts w:hint="eastAsia"/>
          <w:lang w:val="en-US" w:eastAsia="zh-CN"/>
        </w:rPr>
      </w:pPr>
      <w:r>
        <w:rPr>
          <w:rFonts w:hint="eastAsia"/>
          <w:lang w:val="en-US" w:eastAsia="zh-CN"/>
        </w:rPr>
        <w:fldChar w:fldCharType="begin">
          <w:ffData>
            <w:name w:val="StdName"/>
            <w:enabled/>
            <w:calcOnExit w:val="0"/>
            <w:textInput>
              <w:default w:val="地理标志产品 桓仁山参"/>
            </w:textInput>
          </w:ffData>
        </w:fldChar>
      </w:r>
      <w:bookmarkStart w:id="2"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地理标志产品 桓仁山参</w:t>
      </w:r>
      <w:r>
        <w:rPr>
          <w:rFonts w:hint="eastAsia"/>
          <w:lang w:val="en-US" w:eastAsia="zh-CN"/>
        </w:rPr>
        <w:fldChar w:fldCharType="end"/>
      </w:r>
      <w:bookmarkEnd w:id="2"/>
    </w:p>
    <w:p>
      <w:pPr>
        <w:pStyle w:val="42"/>
        <w:bidi w:val="0"/>
        <w:rPr>
          <w:rFonts w:hint="eastAsia"/>
          <w:lang w:val="en-US" w:eastAsia="zh-CN"/>
        </w:rPr>
      </w:pPr>
    </w:p>
    <w:p>
      <w:pPr>
        <w:pStyle w:val="42"/>
        <w:bidi w:val="0"/>
        <w:rPr>
          <w:rFonts w:hint="default"/>
          <w:lang w:val="en-US" w:eastAsia="zh-CN"/>
        </w:rPr>
      </w:pPr>
      <w:r>
        <w:rPr>
          <w:rFonts w:hint="default"/>
          <w:lang w:val="en-US" w:eastAsia="zh-CN"/>
        </w:rPr>
        <w:t>(</w:t>
      </w:r>
      <w:r>
        <w:rPr>
          <w:rFonts w:hint="eastAsia"/>
          <w:lang w:val="en-US" w:eastAsia="zh-CN"/>
        </w:rPr>
        <w:t>征求意见稿</w:t>
      </w:r>
      <w:r>
        <w:rPr>
          <w:rFonts w:hint="default"/>
          <w:lang w:val="en-US" w:eastAsia="zh-CN"/>
        </w:rPr>
        <w:t xml:space="preserve">)   </w:t>
      </w:r>
    </w:p>
    <w:p>
      <w:pPr>
        <w:pStyle w:val="42"/>
        <w:bidi w:val="0"/>
        <w:rPr>
          <w:rFonts w:hint="default"/>
          <w:lang w:val="en-US" w:eastAsia="zh-CN"/>
        </w:rPr>
      </w:pPr>
    </w:p>
    <w:p>
      <w:pPr>
        <w:pStyle w:val="42"/>
        <w:bidi w:val="0"/>
        <w:rPr>
          <w:rFonts w:hint="default"/>
          <w:lang w:val="en-US" w:eastAsia="zh-CN"/>
        </w:rPr>
      </w:pPr>
      <w:r>
        <w:rPr>
          <w:rFonts w:hint="default"/>
          <w:lang w:val="en-US" w:eastAsia="zh-CN"/>
        </w:rPr>
        <w:t xml:space="preserve"> </w:t>
      </w:r>
    </w:p>
    <w:p>
      <w:pPr>
        <w:pStyle w:val="43"/>
        <w:bidi w:val="0"/>
        <w:spacing w:after="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3"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3"/>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7"/>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4"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4"/>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5"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5"/>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6"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6"/>
            <w:r>
              <w:rPr>
                <w:rFonts w:hint="eastAsia"/>
                <w:vertAlign w:val="baseline"/>
                <w:lang w:val="en-US" w:eastAsia="zh-CN"/>
              </w:rPr>
              <w:t xml:space="preserve"> 发布</w:t>
            </w:r>
          </w:p>
        </w:tc>
        <w:tc>
          <w:tcPr>
            <w:tcW w:w="4945" w:type="dxa"/>
            <w:tcBorders>
              <w:bottom w:val="single" w:color="auto" w:sz="8" w:space="0"/>
            </w:tcBorders>
            <w:tcMar>
              <w:right w:w="57" w:type="dxa"/>
            </w:tcMar>
          </w:tcPr>
          <w:p>
            <w:pPr>
              <w:pStyle w:val="37"/>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7"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7"/>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8"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9"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实施</w:t>
            </w:r>
          </w:p>
        </w:tc>
      </w:tr>
    </w:tbl>
    <w:p>
      <w:pPr>
        <w:pStyle w:val="47"/>
        <w:bidi w:val="0"/>
        <w:spacing w:before="0"/>
        <w:rPr>
          <w:rFonts w:hint="eastAsia"/>
          <w:spacing w:val="0"/>
          <w:w w:val="100"/>
          <w:sz w:val="28"/>
          <w:lang w:val="en-US" w:eastAsia="zh-CN"/>
        </w:rPr>
      </w:pPr>
      <w:r>
        <w:rPr>
          <w:rFonts w:hint="eastAsia"/>
          <w:lang w:val="en-US" w:eastAsia="zh-CN"/>
        </w:rPr>
        <w:t>本溪市市场监督管理局</w:t>
      </w:r>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1"/>
              <w:framePr w:w="9639" w:wrap="around"/>
              <w:bidi w:val="0"/>
              <w:jc w:val="both"/>
              <w:rPr>
                <w:rFonts w:hint="eastAsia"/>
                <w:vertAlign w:val="baseline"/>
                <w:lang w:val="en-US" w:eastAsia="zh-CN"/>
              </w:rPr>
            </w:pPr>
            <w:bookmarkStart w:id="10"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点击此处添加ICS号</w:t>
            </w:r>
            <w:r>
              <w:rPr>
                <w:rFonts w:hint="eastAsia"/>
                <w:vertAlign w:val="baseline"/>
                <w:lang w:val="en-US" w:eastAsia="zh-CN"/>
              </w:rPr>
              <w:fldChar w:fldCharType="end"/>
            </w:r>
            <w:bookmarkEnd w:id="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pPr>
              <w:pStyle w:val="51"/>
              <w:framePr w:w="9639" w:wrap="around"/>
              <w:bidi w:val="0"/>
              <w:jc w:val="both"/>
              <w:rPr>
                <w:rFonts w:hint="eastAsia"/>
                <w:vertAlign w:val="baseline"/>
                <w:lang w:val="en-US" w:eastAsia="zh-CN"/>
              </w:rPr>
            </w:pPr>
            <w:bookmarkStart w:id="11"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1"/>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pPr>
                    <w:pStyle w:val="51"/>
                    <w:framePr w:w="9639" w:wrap="around"/>
                    <w:bidi w:val="0"/>
                    <w:jc w:val="right"/>
                    <w:rPr>
                      <w:rFonts w:hint="default"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1905" b="635"/>
                        <wp:docPr id="1" name="图片 1" descr="地标"/>
                        <wp:cNvGraphicFramePr/>
                        <a:graphic xmlns:a="http://schemas.openxmlformats.org/drawingml/2006/main">
                          <a:graphicData uri="http://schemas.openxmlformats.org/drawingml/2006/picture">
                            <pic:pic xmlns:pic="http://schemas.openxmlformats.org/drawingml/2006/picture">
                              <pic:nvPicPr>
                                <pic:cNvPr id="1" name="图片 1"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t>2105</w:t>
                  </w:r>
                </w:p>
              </w:tc>
            </w:tr>
          </w:tbl>
          <w:p>
            <w:pPr>
              <w:pStyle w:val="51"/>
              <w:framePr w:w="9639" w:wrap="around"/>
              <w:bidi w:val="0"/>
              <w:jc w:val="both"/>
              <w:rPr>
                <w:rFonts w:hint="eastAsia"/>
                <w:vertAlign w:val="baseline"/>
                <w:lang w:val="en-US" w:eastAsia="zh-CN"/>
              </w:rPr>
            </w:pPr>
          </w:p>
        </w:tc>
      </w:tr>
    </w:tbl>
    <w:p>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upperRoman" w:start="1"/>
          <w:cols w:space="425" w:num="1"/>
          <w:titlePg/>
          <w:docGrid w:type="lines" w:linePitch="312" w:charSpace="0"/>
        </w:sectPr>
      </w:pPr>
    </w:p>
    <w:p>
      <w:pPr>
        <w:pStyle w:val="53"/>
        <w:bidi w:val="0"/>
        <w:rPr>
          <w:rFonts w:hint="eastAsia"/>
          <w:lang w:val="en-US" w:eastAsia="zh-CN"/>
        </w:rPr>
      </w:pPr>
      <w:r>
        <w:rPr>
          <w:rFonts w:hint="eastAsia"/>
          <w:spacing w:val="317"/>
          <w:lang w:val="en-US" w:eastAsia="zh-CN"/>
        </w:rPr>
        <w:t>前</w:t>
      </w:r>
      <w:bookmarkStart w:id="12" w:name="BKQY"/>
      <w:r>
        <w:rPr>
          <w:rFonts w:hint="eastAsia"/>
          <w:lang w:val="en-US" w:eastAsia="zh-CN"/>
        </w:rPr>
        <w:t>言</w:t>
      </w:r>
    </w:p>
    <w:p>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3"/>
        <w:bidi w:val="0"/>
        <w:rPr>
          <w:rFonts w:hint="eastAsia"/>
          <w:lang w:val="en-US" w:eastAsia="zh-CN"/>
        </w:rPr>
      </w:pPr>
      <w:r>
        <w:rPr>
          <w:rFonts w:hint="eastAsia"/>
          <w:lang w:val="en-US" w:eastAsia="zh-CN"/>
        </w:rPr>
        <w:t>本文件由本溪市林业和草原局提出。</w:t>
      </w:r>
    </w:p>
    <w:p>
      <w:pPr>
        <w:pStyle w:val="23"/>
        <w:bidi w:val="0"/>
        <w:rPr>
          <w:rFonts w:hint="eastAsia"/>
          <w:lang w:val="en-US" w:eastAsia="zh-CN"/>
        </w:rPr>
      </w:pPr>
      <w:r>
        <w:rPr>
          <w:rFonts w:hint="eastAsia"/>
          <w:lang w:val="en-US" w:eastAsia="zh-CN"/>
        </w:rPr>
        <w:t>本文件由本溪市市场监督管理局归口。</w:t>
      </w:r>
    </w:p>
    <w:p>
      <w:pPr>
        <w:pStyle w:val="23"/>
        <w:ind w:firstLine="420"/>
        <w:rPr>
          <w:rFonts w:hint="eastAsia"/>
          <w:lang w:val="en-US" w:eastAsia="zh-CN"/>
        </w:rPr>
      </w:pPr>
      <w:r>
        <w:rPr>
          <w:rFonts w:hint="eastAsia"/>
          <w:lang w:val="en-US" w:eastAsia="zh-CN"/>
        </w:rPr>
        <w:t>本文件起草单位：</w:t>
      </w:r>
      <w:r>
        <w:rPr>
          <w:rFonts w:hint="eastAsia"/>
        </w:rPr>
        <w:t>桓仁满族自治县检验检测服务中心、辽宁晟宇检验检测有限公司（辽宁省参茸产品质量检验中心</w:t>
      </w:r>
      <w:r>
        <w:rPr>
          <w:rFonts w:hint="eastAsia"/>
          <w:lang w:val="en-US" w:eastAsia="zh-CN"/>
        </w:rPr>
        <w:t>、辽宁省冰葡萄产品质量检验中心</w:t>
      </w:r>
      <w:r>
        <w:rPr>
          <w:rFonts w:hint="eastAsia"/>
        </w:rPr>
        <w:t>）。</w:t>
      </w:r>
    </w:p>
    <w:p>
      <w:pPr>
        <w:pStyle w:val="23"/>
        <w:bidi w:val="0"/>
        <w:rPr>
          <w:rFonts w:hint="eastAsia"/>
          <w:lang w:val="en-US" w:eastAsia="zh-CN"/>
        </w:rPr>
      </w:pPr>
      <w:r>
        <w:rPr>
          <w:rFonts w:hint="eastAsia"/>
          <w:lang w:val="en-US" w:eastAsia="zh-CN"/>
        </w:rPr>
        <w:t>本文件主要起草人：樊琳琳、窦德强、吕威、王旭、裴立楠、金洪艳、丁国伟、许亮、杨波、王冰冰、孙宪宇、滕越。</w:t>
      </w:r>
    </w:p>
    <w:p>
      <w:pPr>
        <w:pStyle w:val="23"/>
        <w:bidi w:val="0"/>
        <w:rPr>
          <w:rFonts w:hint="eastAsia"/>
        </w:rPr>
      </w:pPr>
      <w:r>
        <w:rPr>
          <w:rFonts w:hint="eastAsia"/>
        </w:rPr>
        <w:t xml:space="preserve">归口管理部门联系方式： </w:t>
      </w:r>
      <w:r>
        <w:rPr>
          <w:rFonts w:hint="eastAsia"/>
          <w:lang w:val="en-US" w:eastAsia="zh-CN"/>
        </w:rPr>
        <w:t>本溪市</w:t>
      </w:r>
      <w:r>
        <w:rPr>
          <w:rFonts w:hint="eastAsia"/>
        </w:rPr>
        <w:t>林业和草原局（</w:t>
      </w:r>
      <w:r>
        <w:rPr>
          <w:rFonts w:hint="eastAsia"/>
          <w:lang w:val="en-US" w:eastAsia="zh-CN"/>
        </w:rPr>
        <w:t>本溪市平山区人民路31号</w:t>
      </w:r>
      <w:r>
        <w:rPr>
          <w:rFonts w:hint="eastAsia"/>
        </w:rPr>
        <w:t>），联系电话：024-</w:t>
      </w:r>
      <w:r>
        <w:rPr>
          <w:rFonts w:hint="eastAsia"/>
          <w:lang w:val="en-US" w:eastAsia="zh-CN"/>
        </w:rPr>
        <w:t>43560107</w:t>
      </w:r>
      <w:r>
        <w:rPr>
          <w:rFonts w:hint="eastAsia"/>
        </w:rPr>
        <w:t>。</w:t>
      </w:r>
    </w:p>
    <w:p>
      <w:pPr>
        <w:pStyle w:val="23"/>
        <w:bidi w:val="0"/>
        <w:rPr>
          <w:rFonts w:hint="eastAsia"/>
          <w:lang w:val="en-US" w:eastAsia="zh-CN"/>
        </w:rPr>
      </w:pPr>
      <w:r>
        <w:rPr>
          <w:rFonts w:hint="eastAsia"/>
        </w:rPr>
        <w:t>起草部门联系方式：桓仁满族自治县</w:t>
      </w:r>
      <w:r>
        <w:rPr>
          <w:rFonts w:hint="eastAsia"/>
          <w:lang w:val="en-US" w:eastAsia="zh-CN"/>
        </w:rPr>
        <w:t>市场监管事务</w:t>
      </w:r>
      <w:r>
        <w:rPr>
          <w:rFonts w:hint="eastAsia"/>
        </w:rPr>
        <w:t>服务中心（桓仁满族自治县五女山路46号），联系电话：024-48823443。</w:t>
      </w:r>
    </w:p>
    <w:p>
      <w:pPr>
        <w:pStyle w:val="23"/>
        <w:bidi w:val="0"/>
        <w:rPr>
          <w:rFonts w:hint="eastAsia"/>
          <w:lang w:val="en-US" w:eastAsia="zh-CN"/>
        </w:rPr>
      </w:pPr>
    </w:p>
    <w:bookmarkEnd w:id="12"/>
    <w:p>
      <w:pPr>
        <w:rPr>
          <w:rFonts w:hint="eastAsia"/>
          <w:lang w:val="en-US" w:eastAsia="zh-CN"/>
        </w:rPr>
      </w:pPr>
    </w:p>
    <w:p>
      <w:pPr>
        <w:rPr>
          <w:rFonts w:hint="eastAsia"/>
          <w:lang w:val="en-US" w:eastAsia="zh-CN"/>
        </w:rPr>
      </w:pPr>
    </w:p>
    <w:p>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Fonts w:hint="eastAsia" w:ascii="黑体" w:hAnsi="Calibri" w:eastAsia="黑体" w:cs="Times New Roman"/>
          <w:kern w:val="0"/>
          <w:sz w:val="32"/>
          <w:szCs w:val="20"/>
          <w:lang w:val="en-US" w:eastAsia="zh-CN" w:bidi="ar-SA"/>
        </w:rPr>
        <w:tag w:val="StandardName"/>
        <w:id w:val="147462251"/>
        <w:lock w:val="sdtLocked"/>
        <w:placeholder>
          <w:docPart w:val="{8305a711-0f83-467c-ac75-24bbdb4c1ad2}"/>
        </w:placeholder>
      </w:sdtPr>
      <w:sdtEndPr>
        <w:rPr>
          <w:rFonts w:hint="eastAsia" w:ascii="黑体" w:hAnsi="Calibri" w:eastAsia="黑体" w:cs="Times New Roman"/>
          <w:kern w:val="0"/>
          <w:sz w:val="32"/>
          <w:szCs w:val="20"/>
          <w:lang w:val="en-US" w:eastAsia="zh-CN" w:bidi="ar-SA"/>
        </w:rPr>
      </w:sdtEndPr>
      <w:sdtContent>
        <w:p>
          <w:pPr>
            <w:pStyle w:val="54"/>
            <w:bidi w:val="0"/>
            <w:rPr>
              <w:rStyle w:val="118"/>
              <w:rFonts w:hint="eastAsia"/>
              <w:lang w:val="en-US" w:eastAsia="zh-CN"/>
            </w:rPr>
          </w:pPr>
          <w:bookmarkStart w:id="13" w:name="StandardName"/>
          <w:r>
            <w:rPr>
              <w:rFonts w:hint="eastAsia" w:hAnsi="Calibri" w:cs="Times New Roman"/>
              <w:kern w:val="0"/>
              <w:sz w:val="32"/>
              <w:szCs w:val="20"/>
              <w:lang w:val="en-US" w:eastAsia="zh-CN" w:bidi="ar-SA"/>
            </w:rPr>
            <w:t>地理标志产品 桓仁山参</w:t>
          </w:r>
          <w:bookmarkEnd w:id="13"/>
        </w:p>
      </w:sdtContent>
    </w:sdt>
    <w:p>
      <w:pPr>
        <w:pStyle w:val="70"/>
        <w:bidi w:val="0"/>
        <w:rPr>
          <w:rStyle w:val="118"/>
          <w:rFonts w:hint="eastAsia"/>
          <w:lang w:val="en-US" w:eastAsia="zh-CN"/>
        </w:rPr>
      </w:pPr>
      <w:r>
        <w:rPr>
          <w:rFonts w:hint="default"/>
          <w:lang w:val="en-US" w:eastAsia="zh-CN"/>
        </w:rPr>
        <w:t>范围</w:t>
      </w:r>
    </w:p>
    <w:p>
      <w:pPr>
        <w:pStyle w:val="23"/>
        <w:rPr>
          <w:rFonts w:hint="default"/>
          <w:highlight w:val="none"/>
          <w:lang w:val="en-US" w:eastAsia="zh-CN"/>
        </w:rPr>
      </w:pPr>
      <w:r>
        <w:rPr>
          <w:rFonts w:hint="default"/>
          <w:lang w:val="en-US" w:eastAsia="zh-CN"/>
        </w:rPr>
        <w:t>本标准规定了桓仁山参的</w:t>
      </w:r>
      <w:r>
        <w:rPr>
          <w:rFonts w:hint="default"/>
          <w:highlight w:val="none"/>
          <w:lang w:val="en-US" w:eastAsia="zh-CN"/>
        </w:rPr>
        <w:t>术语和定义，地理标志产品保护范围，技术要求，检验方法，检验规则，标志、标签、包装</w:t>
      </w:r>
      <w:r>
        <w:rPr>
          <w:rFonts w:hint="eastAsia"/>
          <w:highlight w:val="none"/>
          <w:lang w:val="en-US" w:eastAsia="zh-CN"/>
        </w:rPr>
        <w:t>、</w:t>
      </w:r>
      <w:r>
        <w:rPr>
          <w:rFonts w:hint="default"/>
          <w:highlight w:val="none"/>
          <w:lang w:val="en-US" w:eastAsia="zh-CN"/>
        </w:rPr>
        <w:t>运输</w:t>
      </w:r>
      <w:r>
        <w:rPr>
          <w:rFonts w:hint="eastAsia"/>
          <w:highlight w:val="none"/>
          <w:lang w:val="en-US" w:eastAsia="zh-CN"/>
        </w:rPr>
        <w:t>、</w:t>
      </w:r>
      <w:r>
        <w:rPr>
          <w:rFonts w:hint="default"/>
          <w:highlight w:val="none"/>
          <w:lang w:val="en-US" w:eastAsia="zh-CN"/>
        </w:rPr>
        <w:t>贮存。</w:t>
      </w:r>
    </w:p>
    <w:p>
      <w:pPr>
        <w:pStyle w:val="23"/>
        <w:rPr>
          <w:rFonts w:hint="default"/>
          <w:lang w:val="en-US" w:eastAsia="zh-CN"/>
        </w:rPr>
      </w:pPr>
      <w:r>
        <w:rPr>
          <w:rFonts w:hint="default"/>
          <w:lang w:val="en-US" w:eastAsia="zh-CN"/>
        </w:rPr>
        <w:t>本标准适用于国家质量监督检验检疫行政主管部门根据《地理标志产品保护规定》批准保护的桓仁山参。</w:t>
      </w:r>
    </w:p>
    <w:p>
      <w:pPr>
        <w:pStyle w:val="70"/>
        <w:bidi w:val="0"/>
        <w:rPr>
          <w:rFonts w:hint="eastAsia"/>
          <w:lang w:val="en-US" w:eastAsia="zh-CN"/>
        </w:rPr>
      </w:pPr>
      <w:r>
        <w:rPr>
          <w:rFonts w:hint="default"/>
          <w:lang w:val="en-US" w:eastAsia="zh-CN"/>
        </w:rPr>
        <w:t>规范性引用文件</w:t>
      </w:r>
    </w:p>
    <w:sdt>
      <w:sdtPr>
        <w:rPr>
          <w:rFonts w:hint="eastAsia" w:ascii="宋体" w:hAnsi="Times New Roman" w:eastAsia="宋体" w:cs="宋体"/>
          <w:sz w:val="21"/>
          <w:lang w:val="en-US" w:eastAsia="zh-CN"/>
        </w:rPr>
        <w:tag w:val="StandNameFile"/>
        <w:id w:val="147461185"/>
        <w:placeholder>
          <w:docPart w:val="{0c46c696-d568-4df9-baa7-c3978d33d934}"/>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191  包装储运图示标志</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5009.3　食品安全国家标准  食品中水分的测定</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5009.4　食品安全国家标准  食品中灰分的测定</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7718  食品安全国家标准  预包装食品标签通则</w:t>
      </w:r>
    </w:p>
    <w:p>
      <w:pPr>
        <w:pStyle w:val="23"/>
        <w:bidi w:val="0"/>
        <w:rPr>
          <w:rFonts w:hint="default" w:ascii="宋体" w:hAnsi="Times New Roman" w:eastAsia="宋体" w:cs="宋体"/>
          <w:sz w:val="21"/>
          <w:lang w:val="en-US" w:eastAsia="zh-CN"/>
        </w:rPr>
      </w:pPr>
      <w:r>
        <w:rPr>
          <w:rFonts w:hint="eastAsia" w:hAnsi="Times New Roman" w:cs="宋体"/>
          <w:sz w:val="21"/>
          <w:lang w:val="en-US" w:eastAsia="zh-CN"/>
        </w:rPr>
        <w:t xml:space="preserve">GB 9683  </w:t>
      </w:r>
      <w:r>
        <w:rPr>
          <w:rFonts w:hint="eastAsia" w:ascii="宋体" w:hAnsi="Times New Roman" w:eastAsia="宋体" w:cs="宋体"/>
          <w:sz w:val="21"/>
          <w:lang w:val="en-US" w:eastAsia="zh-CN"/>
        </w:rPr>
        <w:t>复合食品包装袋卫生标准</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18765  野山参鉴定及分等质量</w:t>
      </w:r>
    </w:p>
    <w:p>
      <w:pPr>
        <w:pStyle w:val="23"/>
        <w:bidi w:val="0"/>
        <w:rPr>
          <w:rFonts w:hint="default" w:ascii="宋体" w:hAnsi="Times New Roman" w:eastAsia="宋体" w:cs="宋体"/>
          <w:sz w:val="21"/>
          <w:lang w:val="en-US" w:eastAsia="zh-CN"/>
        </w:rPr>
      </w:pPr>
      <w:r>
        <w:rPr>
          <w:rFonts w:hint="eastAsia" w:hAnsi="Times New Roman" w:cs="宋体"/>
          <w:sz w:val="21"/>
          <w:lang w:val="en-US" w:eastAsia="zh-CN"/>
        </w:rPr>
        <w:t xml:space="preserve">GB 28050  </w:t>
      </w:r>
      <w:r>
        <w:rPr>
          <w:rFonts w:hint="eastAsia" w:ascii="宋体" w:hAnsi="Times New Roman" w:eastAsia="宋体" w:cs="宋体"/>
          <w:sz w:val="21"/>
          <w:lang w:val="en-US" w:eastAsia="zh-CN"/>
        </w:rPr>
        <w:t>食品安全国家标准 预包装食品营养标签通则</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《中华人民共和国药典》2020年版（一部）</w:t>
      </w:r>
    </w:p>
    <w:p>
      <w:pPr>
        <w:pStyle w:val="70"/>
        <w:bidi w:val="0"/>
        <w:rPr>
          <w:rFonts w:hint="eastAsia" w:ascii="宋体" w:hAnsi="Times New Roman" w:eastAsia="宋体" w:cs="宋体"/>
          <w:lang w:val="en-US" w:eastAsia="zh-CN"/>
        </w:rPr>
      </w:pPr>
      <w:r>
        <w:rPr>
          <w:rFonts w:hint="default"/>
          <w:lang w:val="en-US" w:eastAsia="zh-CN"/>
        </w:rPr>
        <w:t>术语和定义</w:t>
      </w:r>
    </w:p>
    <w:sdt>
      <w:sdtPr>
        <w:rPr>
          <w:rFonts w:hint="default" w:ascii="宋体" w:hAnsi="Times New Roman" w:eastAsia="宋体" w:cs="宋体"/>
          <w:sz w:val="21"/>
          <w:lang w:val="en-US" w:eastAsia="zh-CN"/>
        </w:rPr>
        <w:tag w:val="TermContent"/>
        <w:id w:val="147461185"/>
        <w:placeholder>
          <w:docPart w:val="{4f5be9b3-0a15-4e14-bac1-022579143ed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宋体" w:hAnsi="Times New Roman" w:eastAsia="宋体" w:cs="宋体"/>
          <w:sz w:val="21"/>
          <w:lang w:val="en-US" w:eastAsia="zh-CN"/>
        </w:rPr>
      </w:sdtEndPr>
      <w:sdtContent>
        <w:p>
          <w:pPr>
            <w:pStyle w:val="23"/>
            <w:rPr>
              <w:rFonts w:hint="default"/>
              <w:lang w:val="en-US" w:eastAsia="zh-CN"/>
            </w:rPr>
          </w:pPr>
          <w:r>
            <w:rPr>
              <w:rFonts w:hint="default" w:ascii="宋体" w:hAnsi="Times New Roman" w:eastAsia="宋体" w:cs="宋体"/>
              <w:sz w:val="21"/>
              <w:lang w:val="en-US" w:eastAsia="zh-CN"/>
            </w:rPr>
            <w:t>下列术语和定义适用于本文件。</w:t>
          </w:r>
        </w:p>
      </w:sdtContent>
    </w:sdt>
    <w:p>
      <w:pPr>
        <w:pStyle w:val="119"/>
        <w:rPr>
          <w:rFonts w:hint="eastAsia" w:ascii="黑体" w:hAnsi="黑体" w:eastAsia="黑体"/>
        </w:rPr>
      </w:pPr>
      <w:r>
        <w:rPr>
          <w:rFonts w:hint="eastAsia" w:ascii="黑体" w:hAnsi="黑体" w:eastAsia="黑体"/>
          <w:color w:val="auto"/>
        </w:rPr>
        <w:t xml:space="preserve">桓仁山参 </w:t>
      </w:r>
      <w:r>
        <w:rPr>
          <w:rFonts w:hint="eastAsia" w:ascii="黑体" w:hAnsi="黑体" w:eastAsia="黑体"/>
          <w:color w:val="auto"/>
          <w:lang w:val="en-US" w:eastAsia="zh-CN"/>
        </w:rPr>
        <w:t>h</w:t>
      </w:r>
      <w:r>
        <w:rPr>
          <w:rFonts w:hint="eastAsia" w:ascii="黑体" w:hAnsi="黑体" w:eastAsia="黑体"/>
          <w:color w:val="auto"/>
        </w:rPr>
        <w:t xml:space="preserve">uanren </w:t>
      </w:r>
      <w:r>
        <w:rPr>
          <w:rFonts w:hint="eastAsia" w:ascii="黑体" w:hAnsi="黑体" w:eastAsia="黑体"/>
          <w:color w:val="auto"/>
          <w:lang w:val="en-US" w:eastAsia="zh-CN"/>
        </w:rPr>
        <w:t>mountain</w:t>
      </w:r>
      <w:r>
        <w:rPr>
          <w:rFonts w:hint="eastAsia" w:ascii="黑体" w:hAnsi="黑体" w:eastAsia="黑体"/>
        </w:rPr>
        <w:t xml:space="preserve"> ginseng</w:t>
      </w:r>
    </w:p>
    <w:p>
      <w:pPr>
        <w:pStyle w:val="119"/>
        <w:rPr>
          <w:rFonts w:hint="eastAsia"/>
          <w:lang w:val="en-US" w:eastAsia="zh-CN"/>
        </w:rPr>
      </w:pPr>
      <w:r>
        <w:rPr>
          <w:rFonts w:hint="eastAsia"/>
          <w:lang w:eastAsia="zh-CN"/>
        </w:rPr>
        <w:t>桓仁山参系指产于辽宁省桓仁满族自治县</w:t>
      </w:r>
      <w:r>
        <w:rPr>
          <w:rFonts w:hint="eastAsia"/>
          <w:lang w:val="en-US" w:eastAsia="zh-CN"/>
        </w:rPr>
        <w:t>,</w:t>
      </w:r>
      <w:r>
        <w:rPr>
          <w:rFonts w:hint="eastAsia"/>
          <w:lang w:eastAsia="zh-CN"/>
        </w:rPr>
        <w:t>通过人为播种方式将人参籽播种在适宜的森林环境条件下，自然生长</w:t>
      </w:r>
      <w:r>
        <w:rPr>
          <w:rFonts w:hint="eastAsia"/>
          <w:lang w:val="en-US" w:eastAsia="zh-CN"/>
        </w:rPr>
        <w:t>15年及以上的人参。具有体态自然、皮老坚实、有效成分含量高的特点，其药用价值、商品价值与野山参无差异。</w:t>
      </w:r>
    </w:p>
    <w:p>
      <w:pPr>
        <w:pStyle w:val="70"/>
        <w:bidi w:val="0"/>
        <w:rPr>
          <w:rFonts w:hint="eastAsia"/>
          <w:lang w:val="en-US" w:eastAsia="zh-CN"/>
        </w:rPr>
      </w:pPr>
      <w:r>
        <w:rPr>
          <w:rFonts w:hint="eastAsia"/>
          <w:lang w:val="en-US" w:eastAsia="zh-CN"/>
        </w:rPr>
        <w:t>地理标准产品保护范围</w:t>
      </w:r>
    </w:p>
    <w:p>
      <w:pPr>
        <w:pStyle w:val="23"/>
        <w:rPr>
          <w:rFonts w:hint="eastAsia"/>
          <w:lang w:val="en-US" w:eastAsia="zh-CN"/>
        </w:rPr>
      </w:pPr>
      <w:r>
        <w:rPr>
          <w:rFonts w:hint="eastAsia"/>
          <w:lang w:val="en-US" w:eastAsia="zh-CN"/>
        </w:rPr>
        <w:t>桓仁山参地理标志产品保护范围限于国家质量监督检验检疫总局根据《地理标志产品保护规定》批准的范围，即辽宁省本溪市桓仁满族自治县现辖行政区域范围，地理位置在北纬40°54´～41°32´，东经124°27´～125°40´。地理标志保护区地图见附录B。</w:t>
      </w:r>
    </w:p>
    <w:p>
      <w:pPr>
        <w:pStyle w:val="70"/>
        <w:bidi w:val="0"/>
        <w:rPr>
          <w:rFonts w:hint="eastAsia"/>
          <w:lang w:val="en-US" w:eastAsia="zh-CN"/>
        </w:rPr>
      </w:pPr>
      <w:r>
        <w:rPr>
          <w:rFonts w:hint="eastAsia"/>
          <w:lang w:val="en-US" w:eastAsia="zh-CN"/>
        </w:rPr>
        <w:t>技术要求</w:t>
      </w:r>
    </w:p>
    <w:p>
      <w:pPr>
        <w:pStyle w:val="71"/>
        <w:bidi w:val="0"/>
        <w:rPr>
          <w:rFonts w:hint="eastAsia"/>
          <w:lang w:val="en-US" w:eastAsia="zh-CN"/>
        </w:rPr>
      </w:pPr>
      <w:r>
        <w:rPr>
          <w:rFonts w:hint="eastAsia"/>
          <w:lang w:val="en-US" w:eastAsia="zh-CN"/>
        </w:rPr>
        <w:t>基本要求</w:t>
      </w:r>
    </w:p>
    <w:p>
      <w:pPr>
        <w:pStyle w:val="23"/>
        <w:rPr>
          <w:rFonts w:hint="eastAsia"/>
          <w:lang w:val="en-US" w:eastAsia="zh-CN"/>
        </w:rPr>
      </w:pPr>
      <w:r>
        <w:rPr>
          <w:rFonts w:hint="eastAsia"/>
          <w:lang w:val="en-US" w:eastAsia="zh-CN"/>
        </w:rPr>
        <w:t>体态自然，表皮颜色为黄白色，略有光泽，皮老紧实，芦碗排列整齐有序，形体逐个缩小，芦细长，芦长≥3.5cm，艼1至2条或无，主根为短横体，主根长≥2.5cm，环纹细而深；侧根2至3条，须根长≥15cm，疏而不乱，体须比例约为1：7，有韧性，珍珠点明显。参龄为15年及以上。</w:t>
      </w:r>
    </w:p>
    <w:p>
      <w:pPr>
        <w:pStyle w:val="71"/>
        <w:bidi w:val="0"/>
        <w:rPr>
          <w:rFonts w:hint="eastAsia"/>
          <w:lang w:val="en-US" w:eastAsia="zh-CN"/>
        </w:rPr>
      </w:pPr>
      <w:r>
        <w:rPr>
          <w:rFonts w:hint="eastAsia"/>
          <w:lang w:val="en-US" w:eastAsia="zh-CN"/>
        </w:rPr>
        <w:t>等级要求</w:t>
      </w:r>
    </w:p>
    <w:p>
      <w:pPr>
        <w:pStyle w:val="72"/>
        <w:bidi w:val="0"/>
        <w:rPr>
          <w:rFonts w:hint="eastAsia"/>
          <w:lang w:val="en-US" w:eastAsia="zh-CN"/>
        </w:rPr>
      </w:pPr>
      <w:r>
        <w:rPr>
          <w:rFonts w:hint="eastAsia"/>
          <w:lang w:val="en-US" w:eastAsia="zh-CN"/>
        </w:rPr>
        <w:t>鲜桓仁山参</w:t>
      </w:r>
    </w:p>
    <w:p>
      <w:pPr>
        <w:pStyle w:val="23"/>
        <w:rPr>
          <w:rFonts w:hint="eastAsia"/>
          <w:lang w:val="en-US" w:eastAsia="zh-CN"/>
        </w:rPr>
      </w:pPr>
      <w:r>
        <w:rPr>
          <w:rFonts w:hint="eastAsia"/>
          <w:lang w:val="en-US" w:eastAsia="zh-CN"/>
        </w:rPr>
        <w:t>鲜桓仁山参等级在性状上应满足表1对五形的要求，分为特等、一等、二等、三等四个等级。</w:t>
      </w:r>
    </w:p>
    <w:p>
      <w:pPr>
        <w:pStyle w:val="111"/>
        <w:bidi w:val="0"/>
        <w:rPr>
          <w:rFonts w:hint="eastAsia"/>
          <w:lang w:val="en-US" w:eastAsia="zh-CN"/>
        </w:rPr>
      </w:pPr>
      <w:r>
        <w:rPr>
          <w:rFonts w:hint="eastAsia"/>
          <w:lang w:val="en-US" w:eastAsia="zh-CN"/>
        </w:rPr>
        <w:t>鲜桓仁山参等级</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特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一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二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芦</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三节芦，芦碗紧密，芦较长，个别双芦或三芦以上，芽苞完整</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两节芦或三节芦，芦碗紧密，个别三芦以上，芽苞完整</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一节或两节芦，芦碗较大，芦碗排列扭曲，有残缺、疤痕</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断</w:t>
            </w:r>
            <w:r>
              <w:rPr>
                <w:rFonts w:hint="eastAsia" w:ascii="宋体" w:hAnsi="宋体"/>
                <w:color w:val="000000"/>
                <w:kern w:val="0"/>
                <w:sz w:val="18"/>
                <w:szCs w:val="18"/>
              </w:rPr>
              <w:t>芦，</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kern w:val="0"/>
                <w:sz w:val="18"/>
                <w:szCs w:val="18"/>
              </w:rPr>
              <w:t>艼</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枣核艼，艼重量不得超过主体50%，不跑浆</w:t>
            </w:r>
          </w:p>
        </w:tc>
        <w:tc>
          <w:tcPr>
            <w:tcW w:w="1914" w:type="dxa"/>
            <w:vAlign w:val="center"/>
          </w:tcPr>
          <w:p>
            <w:pPr>
              <w:widowControl/>
              <w:adjustRightInd/>
              <w:spacing w:before="156" w:beforeLines="50" w:after="156" w:afterLines="50" w:line="240" w:lineRule="auto"/>
              <w:outlineLvl w:val="2"/>
              <w:rPr>
                <w:rFonts w:hint="eastAsia"/>
                <w:lang w:val="en-US" w:eastAsia="zh-CN"/>
              </w:rPr>
            </w:pPr>
            <w:r>
              <w:rPr>
                <w:rFonts w:hint="eastAsia" w:ascii="宋体" w:hAnsi="Times New Roman"/>
                <w:color w:val="000000"/>
                <w:kern w:val="0"/>
                <w:sz w:val="18"/>
                <w:szCs w:val="18"/>
              </w:rPr>
              <w:t>枣核艼、蒜瓣艼或毛毛艼，艼重量不得超过主体50%，不跑浆</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有毛毛艼、顺长艼或艼变，艼大，有疤痕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断艼，有残缺、疤痕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sz w:val="18"/>
                <w:szCs w:val="18"/>
              </w:rPr>
              <w:t>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灵体、疙瘩体，黄褐色或淡黄白色，紧皮细腻，有光泽，腿分档自然，不跑浆，无疤痕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顺体、过梁体，黄褐色或淡黄白色，紧皮细腻，有光泽，腿分档自然，不跑浆，无疤痕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顺体、笨体、横体，黄褐色或黄白色，皮较松，体小、艼变、有疤痕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断体，</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sz w:val="18"/>
                <w:szCs w:val="18"/>
              </w:rPr>
              <w:t>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主体上部环纹细而深，紧皮细纹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主体上部环纹明显</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主体上部的环纹不全，断纹或纹较少</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主体上部的环纹不全，断纹或纹较少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sz w:val="18"/>
                <w:szCs w:val="18"/>
              </w:rPr>
              <w:t>须</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细而长，柔韧不脆，疏而不乱，珍珠点明显，主须完整，艼须下伸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须细长，柔韧不脆，主须完整，艼须下伸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须有长有短，柔韧不脆，有残缺</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断须，</w:t>
            </w:r>
            <w:r>
              <w:rPr>
                <w:rFonts w:hint="eastAsia" w:ascii="宋体" w:hAnsi="宋体" w:cs="宋体"/>
                <w:color w:val="000000"/>
                <w:kern w:val="0"/>
                <w:sz w:val="18"/>
                <w:szCs w:val="18"/>
              </w:rPr>
              <w:t>有残缺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bl>
    <w:p>
      <w:pPr>
        <w:pStyle w:val="72"/>
        <w:bidi w:val="0"/>
        <w:rPr>
          <w:rFonts w:hint="eastAsia"/>
          <w:lang w:val="en-US" w:eastAsia="zh-CN"/>
        </w:rPr>
      </w:pPr>
      <w:r>
        <w:rPr>
          <w:rFonts w:hint="eastAsia"/>
          <w:lang w:val="en-US" w:eastAsia="zh-CN"/>
        </w:rPr>
        <w:t>生晒桓仁山参</w:t>
      </w:r>
    </w:p>
    <w:p>
      <w:pPr>
        <w:pStyle w:val="23"/>
        <w:rPr>
          <w:rFonts w:hint="eastAsia"/>
          <w:lang w:val="en-US" w:eastAsia="zh-CN"/>
        </w:rPr>
      </w:pPr>
      <w:r>
        <w:rPr>
          <w:rFonts w:hint="eastAsia"/>
          <w:lang w:val="en-US" w:eastAsia="zh-CN"/>
        </w:rPr>
        <w:t>生晒桓仁山参等级在性状上应满足表2对五形的要求，分为特等、一等、二等、三等四个等级。</w:t>
      </w:r>
    </w:p>
    <w:p>
      <w:pPr>
        <w:pStyle w:val="111"/>
        <w:bidi w:val="0"/>
        <w:rPr>
          <w:rFonts w:hint="eastAsia"/>
          <w:lang w:val="en-US" w:eastAsia="zh-CN"/>
        </w:rPr>
      </w:pPr>
      <w:r>
        <w:rPr>
          <w:rFonts w:hint="eastAsia"/>
          <w:lang w:val="en-US" w:eastAsia="zh-CN"/>
        </w:rPr>
        <w:t>生晒桓仁山参等级</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特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一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二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三 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s="宋体"/>
                <w:color w:val="000000"/>
                <w:sz w:val="18"/>
                <w:szCs w:val="18"/>
              </w:rPr>
              <w:t>芦</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三节芦，芦碗紧密，芦较长，个别双芦或三芦以上</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二节芦或三节芦，芦碗较大、紧密，个别三芦以上</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二节芦、</w:t>
            </w:r>
            <w:r>
              <w:rPr>
                <w:rFonts w:hint="eastAsia" w:ascii="宋体" w:hAnsi="宋体" w:cs="宋体"/>
                <w:bCs/>
                <w:color w:val="000000"/>
                <w:kern w:val="0"/>
                <w:sz w:val="18"/>
                <w:szCs w:val="18"/>
              </w:rPr>
              <w:t>缩脖芦</w:t>
            </w:r>
            <w:r>
              <w:rPr>
                <w:rFonts w:hint="eastAsia" w:ascii="宋体" w:hAnsi="宋体" w:cs="宋体"/>
                <w:color w:val="000000"/>
                <w:kern w:val="0"/>
                <w:sz w:val="18"/>
                <w:szCs w:val="18"/>
              </w:rPr>
              <w:t>，芦碗较粗大，芦碗排列扭曲，有残缺、疤痕</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断</w:t>
            </w:r>
            <w:r>
              <w:rPr>
                <w:rFonts w:hint="eastAsia" w:ascii="宋体" w:hAnsi="宋体"/>
                <w:color w:val="000000"/>
                <w:kern w:val="0"/>
                <w:sz w:val="18"/>
                <w:szCs w:val="18"/>
              </w:rPr>
              <w:t>芦，</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kern w:val="0"/>
                <w:sz w:val="18"/>
                <w:szCs w:val="18"/>
              </w:rPr>
              <w:t>艼</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枣核艼，艼重量不得超过主体50%，不抽沟，色正有光泽</w:t>
            </w:r>
          </w:p>
        </w:tc>
        <w:tc>
          <w:tcPr>
            <w:tcW w:w="1914" w:type="dxa"/>
            <w:vAlign w:val="center"/>
          </w:tcPr>
          <w:p>
            <w:pPr>
              <w:widowControl/>
              <w:adjustRightInd/>
              <w:spacing w:before="156" w:beforeLines="50" w:after="156" w:afterLines="50" w:line="240" w:lineRule="auto"/>
              <w:outlineLvl w:val="2"/>
              <w:rPr>
                <w:rFonts w:hint="eastAsia"/>
                <w:lang w:val="en-US" w:eastAsia="zh-CN"/>
              </w:rPr>
            </w:pPr>
            <w:r>
              <w:rPr>
                <w:rFonts w:hint="eastAsia" w:ascii="宋体" w:hAnsi="宋体" w:cs="宋体"/>
                <w:color w:val="000000"/>
                <w:kern w:val="0"/>
                <w:sz w:val="18"/>
                <w:szCs w:val="18"/>
              </w:rPr>
              <w:t>枣核艼、蒜瓣艼、毛毛艼或顺长艼，艼重量不得超过主体50%，不抽沟，色正有光泽</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艼大或无艼，有残缺、疤痕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断艼，有残缺、疤痕</w:t>
            </w:r>
            <w:r>
              <w:rPr>
                <w:rFonts w:hint="eastAsia" w:ascii="宋体" w:hAnsi="宋体" w:cs="宋体"/>
                <w:color w:val="000000"/>
                <w:kern w:val="0"/>
                <w:sz w:val="18"/>
                <w:szCs w:val="18"/>
                <w:lang w:eastAsia="zh-CN"/>
              </w:rPr>
              <w:t>；</w:t>
            </w:r>
            <w:r>
              <w:rPr>
                <w:rFonts w:hint="eastAsia" w:ascii="宋体" w:hAnsi="宋体" w:cs="宋体"/>
                <w:color w:val="00000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rPr>
              <w:t>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灵体、疙瘩体，色正有光泽，黄褐色或淡黄白色，腿分档自然，不抽沟，无疤痕，不泡体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顺体、过梁体，色正有光泽，黄褐色或淡黄白色，腿分档自然，不抽沟，不泡体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顺体、笨体、横体，黄褐色或黄白色，皮较松，抽沟，体小、艼变、有疤痕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断体，</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rPr>
              <w:t>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主体上部环纹细而深，紧皮细纹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主体上部环纹明显</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主体上部的环纹不全，断纹或纹较少</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主体上部的环纹不全，断纹或纹较少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rPr>
              <w:t>须</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细而长，疏而不乱，柔韧不脆，有珍珠点，主须完整，艼须下伸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须细长，疏而不乱，柔韧不脆，主须完整，艼须下伸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须而长，柔韧不脆，有残缺</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断须，</w:t>
            </w:r>
            <w:r>
              <w:rPr>
                <w:rFonts w:hint="eastAsia" w:ascii="宋体" w:hAnsi="宋体" w:cs="宋体"/>
                <w:color w:val="000000"/>
                <w:kern w:val="0"/>
                <w:sz w:val="18"/>
                <w:szCs w:val="18"/>
              </w:rPr>
              <w:t>有残缺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bl>
    <w:p>
      <w:pPr>
        <w:pStyle w:val="71"/>
        <w:bidi w:val="0"/>
        <w:rPr>
          <w:rFonts w:hint="eastAsia"/>
          <w:lang w:val="en-US" w:eastAsia="zh-CN"/>
        </w:rPr>
      </w:pPr>
      <w:r>
        <w:rPr>
          <w:rFonts w:hint="eastAsia"/>
          <w:lang w:val="en-US" w:eastAsia="zh-CN"/>
        </w:rPr>
        <w:t>规格要求</w:t>
      </w:r>
    </w:p>
    <w:p>
      <w:pPr>
        <w:pStyle w:val="72"/>
        <w:bidi w:val="0"/>
        <w:rPr>
          <w:rFonts w:hint="eastAsia"/>
          <w:lang w:val="en-US" w:eastAsia="zh-CN"/>
        </w:rPr>
      </w:pPr>
      <w:r>
        <w:rPr>
          <w:rFonts w:hint="eastAsia"/>
          <w:lang w:val="en-US" w:eastAsia="zh-CN"/>
        </w:rPr>
        <w:t>鲜桓仁山参</w:t>
      </w:r>
    </w:p>
    <w:p>
      <w:pPr>
        <w:pStyle w:val="23"/>
        <w:rPr>
          <w:rFonts w:hint="eastAsia"/>
          <w:lang w:val="en-US" w:eastAsia="zh-CN"/>
        </w:rPr>
      </w:pPr>
      <w:r>
        <w:rPr>
          <w:rFonts w:hint="eastAsia"/>
          <w:lang w:val="en-US" w:eastAsia="zh-CN"/>
        </w:rPr>
        <w:t>规格应满足表3的要求。</w:t>
      </w:r>
    </w:p>
    <w:p>
      <w:pPr>
        <w:pStyle w:val="111"/>
        <w:bidi w:val="0"/>
        <w:rPr>
          <w:rFonts w:hint="eastAsia"/>
          <w:lang w:val="en-US" w:eastAsia="zh-CN"/>
        </w:rPr>
      </w:pPr>
      <w:r>
        <w:rPr>
          <w:rFonts w:hint="eastAsia"/>
          <w:lang w:val="en-US" w:eastAsia="zh-CN"/>
        </w:rPr>
        <w:t>鲜桓仁山参规格</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级  别</w:t>
            </w:r>
          </w:p>
        </w:tc>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重  量</w:t>
            </w:r>
            <w:r>
              <w:rPr>
                <w:rFonts w:hint="eastAsia" w:ascii="黑体" w:hAnsi="黑体" w:eastAsia="黑体"/>
                <w:sz w:val="18"/>
                <w:szCs w:val="18"/>
                <w:lang w:eastAsia="zh-CN"/>
              </w:rPr>
              <w:t>（</w:t>
            </w:r>
            <w:r>
              <w:rPr>
                <w:rFonts w:hint="eastAsia" w:ascii="黑体" w:hAnsi="黑体" w:eastAsia="黑体"/>
                <w:sz w:val="18"/>
                <w:szCs w:val="18"/>
                <w:lang w:val="en-US" w:eastAsia="zh-CN"/>
              </w:rPr>
              <w:t>X</w:t>
            </w:r>
            <w:r>
              <w:rPr>
                <w:rFonts w:hint="eastAsia" w:ascii="黑体" w:hAnsi="黑体" w:eastAsia="黑体"/>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sz w:val="18"/>
                <w:szCs w:val="18"/>
              </w:rPr>
              <w:t>特级</w:t>
            </w:r>
          </w:p>
        </w:tc>
        <w:tc>
          <w:tcPr>
            <w:tcW w:w="4785"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sz w:val="18"/>
                <w:szCs w:val="18"/>
              </w:rPr>
              <w:t>X≥80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一级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80＞X≥60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二级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60＞X≥45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三级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45＞X≥35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四级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35＞X≥18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五级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18＞X≥12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六级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12＞X≥5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七级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X＜5</w:t>
            </w:r>
          </w:p>
        </w:tc>
      </w:tr>
    </w:tbl>
    <w:p>
      <w:pPr>
        <w:pStyle w:val="72"/>
        <w:bidi w:val="0"/>
        <w:rPr>
          <w:rFonts w:hint="eastAsia"/>
          <w:lang w:val="en-US" w:eastAsia="zh-CN"/>
        </w:rPr>
      </w:pPr>
      <w:r>
        <w:rPr>
          <w:rFonts w:hint="eastAsia"/>
          <w:lang w:val="en-US" w:eastAsia="zh-CN"/>
        </w:rPr>
        <w:t>生晒桓仁山参</w:t>
      </w:r>
    </w:p>
    <w:p>
      <w:pPr>
        <w:pStyle w:val="23"/>
        <w:rPr>
          <w:rFonts w:hint="eastAsia"/>
          <w:lang w:val="en-US" w:eastAsia="zh-CN"/>
        </w:rPr>
      </w:pPr>
      <w:r>
        <w:rPr>
          <w:rFonts w:hint="eastAsia"/>
          <w:lang w:val="en-US" w:eastAsia="zh-CN"/>
        </w:rPr>
        <w:t>规格应满足表4的要求。</w:t>
      </w:r>
    </w:p>
    <w:p>
      <w:pPr>
        <w:pStyle w:val="111"/>
        <w:bidi w:val="0"/>
        <w:rPr>
          <w:rFonts w:hint="eastAsia"/>
          <w:lang w:val="en-US" w:eastAsia="zh-CN"/>
        </w:rPr>
      </w:pPr>
      <w:r>
        <w:rPr>
          <w:rFonts w:hint="eastAsia"/>
          <w:lang w:val="en-US" w:eastAsia="zh-CN"/>
        </w:rPr>
        <w:t>生晒桓仁山参规格</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级  别</w:t>
            </w:r>
          </w:p>
        </w:tc>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重  量</w:t>
            </w:r>
            <w:r>
              <w:rPr>
                <w:rFonts w:hint="eastAsia" w:ascii="黑体" w:hAnsi="黑体" w:eastAsia="黑体"/>
                <w:sz w:val="18"/>
                <w:szCs w:val="18"/>
                <w:lang w:eastAsia="zh-CN"/>
              </w:rPr>
              <w:t>（</w:t>
            </w:r>
            <w:r>
              <w:rPr>
                <w:rFonts w:hint="eastAsia" w:ascii="黑体" w:hAnsi="黑体" w:eastAsia="黑体"/>
                <w:sz w:val="18"/>
                <w:szCs w:val="18"/>
                <w:lang w:val="en-US" w:eastAsia="zh-CN"/>
              </w:rPr>
              <w:t>X</w:t>
            </w:r>
            <w:r>
              <w:rPr>
                <w:rFonts w:hint="eastAsia" w:ascii="黑体" w:hAnsi="黑体" w:eastAsia="黑体"/>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sz w:val="18"/>
                <w:szCs w:val="18"/>
              </w:rPr>
              <w:t>特级</w:t>
            </w:r>
          </w:p>
        </w:tc>
        <w:tc>
          <w:tcPr>
            <w:tcW w:w="4785"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sz w:val="18"/>
                <w:szCs w:val="18"/>
              </w:rPr>
              <w:t>X≥15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一级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15＞X≥12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二级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12＞X≥9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三级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9＞X≥7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四级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7＞X≥5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五级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5＞X≥3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六级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3＞X≥1.3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七级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X＜1.3</w:t>
            </w:r>
          </w:p>
        </w:tc>
      </w:tr>
    </w:tbl>
    <w:p>
      <w:pPr>
        <w:pStyle w:val="71"/>
        <w:bidi w:val="0"/>
        <w:rPr>
          <w:rFonts w:hint="eastAsia"/>
          <w:lang w:val="en-US" w:eastAsia="zh-CN"/>
        </w:rPr>
      </w:pPr>
      <w:r>
        <w:rPr>
          <w:rFonts w:hint="eastAsia"/>
          <w:lang w:val="en-US" w:eastAsia="zh-CN"/>
        </w:rPr>
        <w:t>理化指标</w:t>
      </w:r>
    </w:p>
    <w:p>
      <w:pPr>
        <w:pStyle w:val="23"/>
        <w:rPr>
          <w:rFonts w:hint="eastAsia"/>
          <w:lang w:val="en-US" w:eastAsia="zh-CN"/>
        </w:rPr>
      </w:pPr>
      <w:r>
        <w:rPr>
          <w:rFonts w:hint="eastAsia"/>
          <w:lang w:val="en-US" w:eastAsia="zh-CN"/>
        </w:rPr>
        <w:t>桓仁山参、桓仁山参粉、桓仁山参片理化指标应满足表5的要求。</w:t>
      </w:r>
    </w:p>
    <w:p>
      <w:pPr>
        <w:pStyle w:val="111"/>
        <w:bidi w:val="0"/>
        <w:rPr>
          <w:rFonts w:hint="eastAsia"/>
          <w:lang w:val="en-US" w:eastAsia="zh-CN"/>
        </w:rPr>
      </w:pPr>
      <w:r>
        <w:rPr>
          <w:rFonts w:hint="eastAsia"/>
          <w:lang w:val="en-US" w:eastAsia="zh-CN"/>
        </w:rPr>
        <w:t>桓仁山参、桓仁山参粉、桓仁山参片理化指标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88"/>
        <w:gridCol w:w="2389"/>
        <w:gridCol w:w="23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color w:val="auto"/>
                <w:sz w:val="18"/>
                <w:szCs w:val="18"/>
              </w:rPr>
              <w:t>序 号</w:t>
            </w:r>
          </w:p>
        </w:tc>
        <w:tc>
          <w:tcPr>
            <w:tcW w:w="4777" w:type="dxa"/>
            <w:gridSpan w:val="2"/>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项  目</w:t>
            </w:r>
          </w:p>
        </w:tc>
        <w:tc>
          <w:tcPr>
            <w:tcW w:w="2392"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color w:val="auto"/>
                <w:sz w:val="18"/>
                <w:szCs w:val="18"/>
                <w:lang w:eastAsia="zh-CN"/>
              </w:rPr>
              <w:t>指</w:t>
            </w:r>
            <w:r>
              <w:rPr>
                <w:rFonts w:hint="eastAsia" w:ascii="黑体" w:hAnsi="黑体" w:eastAsia="黑体"/>
                <w:color w:val="auto"/>
                <w:sz w:val="18"/>
                <w:szCs w:val="18"/>
                <w:lang w:val="en-US" w:eastAsia="zh-CN"/>
              </w:rPr>
              <w:t xml:space="preserve">   </w:t>
            </w:r>
            <w:r>
              <w:rPr>
                <w:rFonts w:hint="eastAsia" w:ascii="黑体" w:hAnsi="黑体" w:eastAsia="黑体"/>
                <w:color w:val="auto"/>
                <w:sz w:val="18"/>
                <w:szCs w:val="18"/>
                <w:lang w:eastAsia="zh-CN"/>
              </w:rPr>
              <w:t>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color w:val="auto"/>
                <w:sz w:val="18"/>
                <w:szCs w:val="18"/>
              </w:rPr>
              <w:t>1</w:t>
            </w:r>
          </w:p>
        </w:tc>
        <w:tc>
          <w:tcPr>
            <w:tcW w:w="4777" w:type="dxa"/>
            <w:gridSpan w:val="2"/>
            <w:tcBorders>
              <w:top w:val="single" w:color="auto" w:sz="8" w:space="0"/>
            </w:tcBorders>
            <w:vAlign w:val="top"/>
          </w:tcPr>
          <w:p>
            <w:pPr>
              <w:pStyle w:val="119"/>
              <w:widowControl w:val="0"/>
              <w:ind w:firstLine="0" w:firstLineChars="0"/>
              <w:rPr>
                <w:rFonts w:hint="eastAsia"/>
                <w:lang w:val="en-US" w:eastAsia="zh-CN"/>
              </w:rPr>
            </w:pPr>
            <w:r>
              <w:rPr>
                <w:rFonts w:hint="eastAsia"/>
                <w:sz w:val="18"/>
                <w:szCs w:val="18"/>
              </w:rPr>
              <w:t>干品水分（%）</w:t>
            </w:r>
          </w:p>
        </w:tc>
        <w:tc>
          <w:tcPr>
            <w:tcW w:w="2392" w:type="dxa"/>
            <w:tcBorders>
              <w:top w:val="single" w:color="auto" w:sz="8" w:space="0"/>
            </w:tcBorders>
            <w:vAlign w:val="top"/>
          </w:tcPr>
          <w:p>
            <w:pPr>
              <w:pStyle w:val="119"/>
              <w:widowControl w:val="0"/>
              <w:ind w:firstLine="0" w:firstLineChars="0"/>
              <w:rPr>
                <w:rFonts w:hint="eastAsia"/>
                <w:lang w:val="en-US" w:eastAsia="zh-CN"/>
              </w:rPr>
            </w:pPr>
            <w:r>
              <w:rPr>
                <w:rFonts w:hint="eastAsia"/>
                <w:color w:val="auto"/>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Merge w:val="restart"/>
          </w:tcPr>
          <w:p>
            <w:pPr>
              <w:pStyle w:val="109"/>
              <w:widowControl w:val="0"/>
              <w:bidi w:val="0"/>
              <w:ind w:left="0" w:leftChars="0" w:firstLine="0" w:firstLineChars="0"/>
              <w:jc w:val="center"/>
              <w:rPr>
                <w:rFonts w:hint="default"/>
                <w:lang w:val="en-US" w:eastAsia="zh-CN"/>
              </w:rPr>
            </w:pPr>
            <w:r>
              <w:rPr>
                <w:rFonts w:hint="eastAsia"/>
                <w:lang w:val="en-US" w:eastAsia="zh-CN"/>
              </w:rPr>
              <w:t>2</w:t>
            </w:r>
          </w:p>
        </w:tc>
        <w:tc>
          <w:tcPr>
            <w:tcW w:w="2388" w:type="dxa"/>
            <w:vMerge w:val="restart"/>
            <w:vAlign w:val="top"/>
          </w:tcPr>
          <w:p>
            <w:pPr>
              <w:pStyle w:val="119"/>
              <w:widowControl w:val="0"/>
              <w:ind w:firstLine="0" w:firstLineChars="0"/>
              <w:rPr>
                <w:rFonts w:hint="eastAsia"/>
                <w:lang w:val="en-US" w:eastAsia="zh-CN"/>
              </w:rPr>
            </w:pPr>
            <w:r>
              <w:rPr>
                <w:rFonts w:hint="eastAsia"/>
                <w:sz w:val="18"/>
                <w:szCs w:val="18"/>
              </w:rPr>
              <w:t>灰分（%）</w:t>
            </w:r>
          </w:p>
        </w:tc>
        <w:tc>
          <w:tcPr>
            <w:tcW w:w="2389" w:type="dxa"/>
            <w:vAlign w:val="top"/>
          </w:tcPr>
          <w:p>
            <w:pPr>
              <w:pStyle w:val="119"/>
              <w:widowControl w:val="0"/>
              <w:ind w:firstLine="0" w:firstLineChars="0"/>
              <w:rPr>
                <w:rFonts w:hint="eastAsia"/>
                <w:lang w:val="en-US" w:eastAsia="zh-CN"/>
              </w:rPr>
            </w:pPr>
            <w:r>
              <w:rPr>
                <w:rFonts w:hint="eastAsia"/>
                <w:sz w:val="18"/>
                <w:szCs w:val="18"/>
              </w:rPr>
              <w:t>总灰分</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Merge w:val="continue"/>
          </w:tcPr>
          <w:p>
            <w:pPr>
              <w:pStyle w:val="109"/>
              <w:widowControl w:val="0"/>
              <w:bidi w:val="0"/>
              <w:jc w:val="center"/>
              <w:rPr>
                <w:rFonts w:hint="eastAsia"/>
                <w:lang w:val="en-US" w:eastAsia="zh-CN"/>
              </w:rPr>
            </w:pPr>
          </w:p>
        </w:tc>
        <w:tc>
          <w:tcPr>
            <w:tcW w:w="2388" w:type="dxa"/>
            <w:vMerge w:val="continue"/>
            <w:vAlign w:val="top"/>
          </w:tcPr>
          <w:p>
            <w:pPr>
              <w:pStyle w:val="119"/>
              <w:widowControl w:val="0"/>
              <w:ind w:firstLine="0" w:firstLineChars="0"/>
              <w:rPr>
                <w:rFonts w:hint="eastAsia"/>
                <w:lang w:val="en-US" w:eastAsia="zh-CN"/>
              </w:rPr>
            </w:pPr>
          </w:p>
        </w:tc>
        <w:tc>
          <w:tcPr>
            <w:tcW w:w="2389" w:type="dxa"/>
            <w:vAlign w:val="top"/>
          </w:tcPr>
          <w:p>
            <w:pPr>
              <w:pStyle w:val="119"/>
              <w:widowControl w:val="0"/>
              <w:ind w:firstLine="0" w:firstLineChars="0"/>
              <w:rPr>
                <w:rFonts w:hint="eastAsia"/>
                <w:lang w:val="en-US" w:eastAsia="zh-CN"/>
              </w:rPr>
            </w:pPr>
            <w:r>
              <w:rPr>
                <w:rFonts w:hint="eastAsia"/>
                <w:sz w:val="18"/>
                <w:szCs w:val="18"/>
              </w:rPr>
              <w:t>酸不溶性灰分</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Align w:val="top"/>
          </w:tcPr>
          <w:p>
            <w:pPr>
              <w:pStyle w:val="119"/>
              <w:widowControl w:val="0"/>
              <w:ind w:firstLine="0" w:firstLineChars="0"/>
              <w:jc w:val="center"/>
              <w:rPr>
                <w:rFonts w:hint="eastAsia"/>
                <w:lang w:val="en-US" w:eastAsia="zh-CN"/>
              </w:rPr>
            </w:pPr>
            <w:r>
              <w:rPr>
                <w:rFonts w:hint="eastAsia"/>
                <w:color w:val="auto"/>
                <w:sz w:val="18"/>
                <w:szCs w:val="18"/>
              </w:rPr>
              <w:t>3</w:t>
            </w:r>
          </w:p>
        </w:tc>
        <w:tc>
          <w:tcPr>
            <w:tcW w:w="4777" w:type="dxa"/>
            <w:gridSpan w:val="2"/>
            <w:vAlign w:val="top"/>
          </w:tcPr>
          <w:p>
            <w:pPr>
              <w:pStyle w:val="119"/>
              <w:widowControl w:val="0"/>
              <w:ind w:firstLine="0" w:firstLineChars="0"/>
              <w:rPr>
                <w:rFonts w:hint="eastAsia"/>
                <w:lang w:val="en-US" w:eastAsia="zh-CN"/>
              </w:rPr>
            </w:pPr>
            <w:r>
              <w:rPr>
                <w:rFonts w:hint="eastAsia"/>
                <w:sz w:val="18"/>
                <w:szCs w:val="18"/>
              </w:rPr>
              <w:t>Rb1、Re、Rg1薄层鉴别</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符合《中华人民共和国药典》20</w:t>
            </w:r>
            <w:r>
              <w:rPr>
                <w:rFonts w:hint="eastAsia"/>
                <w:color w:val="auto"/>
                <w:sz w:val="18"/>
                <w:szCs w:val="18"/>
                <w:lang w:val="en-US" w:eastAsia="zh-CN"/>
              </w:rPr>
              <w:t>20</w:t>
            </w:r>
            <w:r>
              <w:rPr>
                <w:rFonts w:hint="eastAsia"/>
                <w:color w:val="auto"/>
                <w:sz w:val="18"/>
                <w:szCs w:val="18"/>
              </w:rPr>
              <w:t>年版</w:t>
            </w:r>
            <w:r>
              <w:rPr>
                <w:rFonts w:hint="eastAsia"/>
                <w:color w:val="auto"/>
                <w:sz w:val="18"/>
                <w:szCs w:val="18"/>
                <w:lang w:eastAsia="zh-CN"/>
              </w:rPr>
              <w:t>（</w:t>
            </w:r>
            <w:r>
              <w:rPr>
                <w:rFonts w:hint="eastAsia"/>
                <w:color w:val="auto"/>
                <w:sz w:val="18"/>
                <w:szCs w:val="18"/>
              </w:rPr>
              <w:t>一部</w:t>
            </w:r>
            <w:r>
              <w:rPr>
                <w:rFonts w:hint="eastAsia"/>
                <w:color w:val="auto"/>
                <w:sz w:val="18"/>
                <w:szCs w:val="18"/>
                <w:lang w:eastAsia="zh-CN"/>
              </w:rPr>
              <w:t>）人参项下</w:t>
            </w:r>
            <w:r>
              <w:rPr>
                <w:rFonts w:hint="eastAsia"/>
                <w:color w:val="auto"/>
                <w:sz w:val="18"/>
                <w:szCs w:val="18"/>
              </w:rPr>
              <w:t>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Merge w:val="restart"/>
            <w:vAlign w:val="top"/>
          </w:tcPr>
          <w:p>
            <w:pPr>
              <w:pStyle w:val="119"/>
              <w:widowControl w:val="0"/>
              <w:ind w:firstLine="0" w:firstLineChars="0"/>
              <w:jc w:val="center"/>
              <w:rPr>
                <w:rFonts w:hint="eastAsia"/>
                <w:lang w:val="en-US" w:eastAsia="zh-CN"/>
              </w:rPr>
            </w:pPr>
            <w:r>
              <w:rPr>
                <w:rFonts w:hint="eastAsia"/>
                <w:color w:val="auto"/>
                <w:sz w:val="18"/>
                <w:szCs w:val="18"/>
              </w:rPr>
              <w:t>4</w:t>
            </w:r>
          </w:p>
        </w:tc>
        <w:tc>
          <w:tcPr>
            <w:tcW w:w="2388" w:type="dxa"/>
            <w:vMerge w:val="restart"/>
            <w:vAlign w:val="top"/>
          </w:tcPr>
          <w:p>
            <w:pPr>
              <w:pStyle w:val="119"/>
              <w:widowControl w:val="0"/>
              <w:ind w:firstLine="0" w:firstLineChars="0"/>
              <w:rPr>
                <w:rFonts w:hint="eastAsia"/>
                <w:lang w:val="en-US" w:eastAsia="zh-CN"/>
              </w:rPr>
            </w:pPr>
            <w:r>
              <w:rPr>
                <w:rFonts w:hint="eastAsia"/>
                <w:sz w:val="18"/>
                <w:szCs w:val="18"/>
              </w:rPr>
              <w:t>人参皂苷（%）</w:t>
            </w:r>
          </w:p>
        </w:tc>
        <w:tc>
          <w:tcPr>
            <w:tcW w:w="2389" w:type="dxa"/>
            <w:vAlign w:val="top"/>
          </w:tcPr>
          <w:p>
            <w:pPr>
              <w:pStyle w:val="119"/>
              <w:widowControl w:val="0"/>
              <w:ind w:firstLine="0" w:firstLineChars="0"/>
              <w:rPr>
                <w:rFonts w:hint="eastAsia"/>
                <w:lang w:val="en-US" w:eastAsia="zh-CN"/>
              </w:rPr>
            </w:pPr>
            <w:r>
              <w:rPr>
                <w:rFonts w:hint="eastAsia"/>
                <w:sz w:val="18"/>
                <w:szCs w:val="18"/>
              </w:rPr>
              <w:t>Rb1</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≥0.4</w:t>
            </w:r>
            <w:r>
              <w:rPr>
                <w:rFonts w:hint="eastAsia"/>
                <w:color w:val="auto"/>
                <w:sz w:val="18"/>
                <w:szCs w:val="1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Merge w:val="continue"/>
            <w:vAlign w:val="top"/>
          </w:tcPr>
          <w:p>
            <w:pPr>
              <w:pStyle w:val="119"/>
              <w:widowControl w:val="0"/>
              <w:ind w:firstLine="0" w:firstLineChars="0"/>
              <w:jc w:val="center"/>
              <w:rPr>
                <w:rFonts w:hint="eastAsia"/>
                <w:lang w:val="en-US" w:eastAsia="zh-CN"/>
              </w:rPr>
            </w:pPr>
          </w:p>
        </w:tc>
        <w:tc>
          <w:tcPr>
            <w:tcW w:w="2388" w:type="dxa"/>
            <w:vMerge w:val="continue"/>
            <w:vAlign w:val="top"/>
          </w:tcPr>
          <w:p>
            <w:pPr>
              <w:pStyle w:val="119"/>
              <w:widowControl w:val="0"/>
              <w:ind w:firstLine="0" w:firstLineChars="0"/>
              <w:rPr>
                <w:rFonts w:hint="eastAsia"/>
                <w:lang w:val="en-US" w:eastAsia="zh-CN"/>
              </w:rPr>
            </w:pPr>
          </w:p>
        </w:tc>
        <w:tc>
          <w:tcPr>
            <w:tcW w:w="2389" w:type="dxa"/>
            <w:vAlign w:val="top"/>
          </w:tcPr>
          <w:p>
            <w:pPr>
              <w:pStyle w:val="119"/>
              <w:widowControl w:val="0"/>
              <w:ind w:firstLine="0" w:firstLineChars="0"/>
              <w:rPr>
                <w:rFonts w:hint="eastAsia"/>
                <w:lang w:val="en-US" w:eastAsia="zh-CN"/>
              </w:rPr>
            </w:pPr>
            <w:r>
              <w:rPr>
                <w:rFonts w:hint="eastAsia"/>
                <w:sz w:val="18"/>
                <w:szCs w:val="18"/>
              </w:rPr>
              <w:t>Re+Rg1</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≥0.6</w:t>
            </w:r>
            <w:r>
              <w:rPr>
                <w:rFonts w:hint="eastAsia"/>
                <w:color w:val="auto"/>
                <w:sz w:val="18"/>
                <w:szCs w:val="1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Align w:val="top"/>
          </w:tcPr>
          <w:p>
            <w:pPr>
              <w:pStyle w:val="119"/>
              <w:widowControl w:val="0"/>
              <w:ind w:firstLine="0" w:firstLineChars="0"/>
              <w:jc w:val="center"/>
              <w:rPr>
                <w:rFonts w:hint="eastAsia"/>
                <w:lang w:val="en-US" w:eastAsia="zh-CN"/>
              </w:rPr>
            </w:pPr>
            <w:r>
              <w:rPr>
                <w:rFonts w:hint="eastAsia"/>
                <w:color w:val="auto"/>
                <w:sz w:val="18"/>
                <w:szCs w:val="18"/>
              </w:rPr>
              <w:t>5</w:t>
            </w:r>
          </w:p>
        </w:tc>
        <w:tc>
          <w:tcPr>
            <w:tcW w:w="4777" w:type="dxa"/>
            <w:gridSpan w:val="2"/>
            <w:vAlign w:val="top"/>
          </w:tcPr>
          <w:p>
            <w:pPr>
              <w:pStyle w:val="119"/>
              <w:widowControl w:val="0"/>
              <w:ind w:firstLine="0" w:firstLineChars="0"/>
              <w:rPr>
                <w:rFonts w:hint="eastAsia"/>
                <w:lang w:val="en-US" w:eastAsia="zh-CN"/>
              </w:rPr>
            </w:pPr>
            <w:r>
              <w:rPr>
                <w:rFonts w:hint="eastAsia"/>
                <w:sz w:val="18"/>
                <w:szCs w:val="18"/>
              </w:rPr>
              <w:t>人参总皂苷（%）</w:t>
            </w:r>
          </w:p>
        </w:tc>
        <w:tc>
          <w:tcPr>
            <w:tcW w:w="2392" w:type="dxa"/>
            <w:vAlign w:val="top"/>
          </w:tcPr>
          <w:p>
            <w:pPr>
              <w:pStyle w:val="119"/>
              <w:widowControl w:val="0"/>
              <w:ind w:firstLine="0" w:firstLineChars="0"/>
              <w:rPr>
                <w:rFonts w:hint="eastAsia"/>
                <w:lang w:val="en-US" w:eastAsia="zh-CN"/>
              </w:rPr>
            </w:pPr>
            <w:r>
              <w:rPr>
                <w:rFonts w:hint="eastAsia"/>
                <w:sz w:val="18"/>
                <w:szCs w:val="18"/>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59" w:type="dxa"/>
            <w:gridSpan w:val="4"/>
          </w:tcPr>
          <w:p>
            <w:pPr>
              <w:pStyle w:val="104"/>
              <w:widowControl w:val="0"/>
              <w:bidi w:val="0"/>
              <w:rPr>
                <w:rFonts w:hint="eastAsia"/>
                <w:lang w:val="en-US" w:eastAsia="zh-CN"/>
              </w:rPr>
            </w:pPr>
            <w:r>
              <w:rPr>
                <w:rFonts w:hint="eastAsia"/>
                <w:lang w:val="en-US" w:eastAsia="zh-CN"/>
              </w:rPr>
              <w:t>鲜桓仁山参的上述指标以干燥品计算。</w:t>
            </w:r>
          </w:p>
        </w:tc>
      </w:tr>
    </w:tbl>
    <w:p>
      <w:pPr>
        <w:pStyle w:val="71"/>
        <w:bidi w:val="0"/>
        <w:rPr>
          <w:rFonts w:hint="eastAsia"/>
          <w:lang w:val="en-US" w:eastAsia="zh-CN"/>
        </w:rPr>
      </w:pPr>
      <w:r>
        <w:rPr>
          <w:rFonts w:hint="eastAsia"/>
          <w:lang w:val="en-US" w:eastAsia="zh-CN"/>
        </w:rPr>
        <w:t>加工要求</w:t>
      </w:r>
    </w:p>
    <w:p>
      <w:pPr>
        <w:pStyle w:val="23"/>
        <w:rPr>
          <w:rFonts w:hint="eastAsia"/>
          <w:lang w:val="en-US" w:eastAsia="zh-CN"/>
        </w:rPr>
      </w:pPr>
      <w:r>
        <w:rPr>
          <w:rFonts w:hint="eastAsia"/>
          <w:lang w:val="en-US" w:eastAsia="zh-CN"/>
        </w:rPr>
        <w:t>桓仁山参粉、桓仁山参片加工销售前，应符合表2的规定，加工同时应经具有资质单位鉴定并留样后进行。</w:t>
      </w:r>
    </w:p>
    <w:p>
      <w:pPr>
        <w:pStyle w:val="70"/>
        <w:bidi w:val="0"/>
        <w:rPr>
          <w:rFonts w:hint="eastAsia"/>
          <w:lang w:val="en-US" w:eastAsia="zh-CN"/>
        </w:rPr>
      </w:pPr>
      <w:r>
        <w:rPr>
          <w:rFonts w:hint="eastAsia"/>
          <w:lang w:val="en-US" w:eastAsia="zh-CN"/>
        </w:rPr>
        <w:t>检验方法</w:t>
      </w:r>
    </w:p>
    <w:p>
      <w:pPr>
        <w:pStyle w:val="71"/>
        <w:bidi w:val="0"/>
        <w:rPr>
          <w:rFonts w:hint="eastAsia"/>
          <w:lang w:val="en-US" w:eastAsia="zh-CN"/>
        </w:rPr>
      </w:pPr>
      <w:r>
        <w:rPr>
          <w:rFonts w:hint="eastAsia"/>
          <w:lang w:val="en-US" w:eastAsia="zh-CN"/>
        </w:rPr>
        <w:t>感官检验</w:t>
      </w:r>
    </w:p>
    <w:p>
      <w:pPr>
        <w:pStyle w:val="72"/>
        <w:bidi w:val="0"/>
        <w:rPr>
          <w:rFonts w:hint="eastAsia"/>
          <w:lang w:val="en-US" w:eastAsia="zh-CN"/>
        </w:rPr>
      </w:pPr>
      <w:r>
        <w:rPr>
          <w:rFonts w:hint="eastAsia"/>
          <w:lang w:val="en-US" w:eastAsia="zh-CN"/>
        </w:rPr>
        <w:t>参龄判断</w:t>
      </w:r>
    </w:p>
    <w:p>
      <w:pPr>
        <w:pStyle w:val="23"/>
        <w:rPr>
          <w:rFonts w:hint="eastAsia"/>
          <w:lang w:val="en-US" w:eastAsia="zh-CN"/>
        </w:rPr>
      </w:pPr>
      <w:r>
        <w:rPr>
          <w:rFonts w:hint="eastAsia"/>
          <w:lang w:val="en-US" w:eastAsia="zh-CN"/>
        </w:rPr>
        <w:t>根据桓仁山参芦碗个数和圆芦上的芦碗痕迹及皮色老嫩判断桓仁山参参龄。</w:t>
      </w:r>
    </w:p>
    <w:p>
      <w:pPr>
        <w:pStyle w:val="72"/>
        <w:bidi w:val="0"/>
        <w:rPr>
          <w:rFonts w:hint="eastAsia"/>
          <w:lang w:val="en-US" w:eastAsia="zh-CN"/>
        </w:rPr>
      </w:pPr>
      <w:r>
        <w:rPr>
          <w:rFonts w:hint="eastAsia"/>
          <w:lang w:val="en-US" w:eastAsia="zh-CN"/>
        </w:rPr>
        <w:t>等级规格检验</w:t>
      </w:r>
    </w:p>
    <w:p>
      <w:pPr>
        <w:pStyle w:val="73"/>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等级规格的检验用目测、天平称量，应符合表1、表2、表3、表4的规定或《中华人民共和国药典》2020年版(一部）的规定。</w:t>
      </w:r>
    </w:p>
    <w:p>
      <w:pPr>
        <w:pStyle w:val="73"/>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桓仁山参不可有粘接，粘接的鉴别可以用放大镜，当肉眼和放大镜无法鉴别时，可以采取透视设备（X光透视、断层扫描仪）。</w:t>
      </w:r>
    </w:p>
    <w:p>
      <w:pPr>
        <w:pStyle w:val="73"/>
        <w:bidi w:val="0"/>
        <w:rPr>
          <w:rFonts w:hint="eastAsia" w:ascii="宋体" w:hAnsi="宋体" w:eastAsia="宋体" w:cs="宋体"/>
          <w:lang w:val="en-US" w:eastAsia="zh-CN"/>
        </w:rPr>
      </w:pPr>
      <w:r>
        <w:rPr>
          <w:rFonts w:hint="eastAsia" w:ascii="宋体" w:hAnsi="宋体" w:eastAsia="宋体" w:cs="宋体"/>
          <w:lang w:val="en-US" w:eastAsia="zh-CN"/>
        </w:rPr>
        <w:t>桓仁山参体内不可有异物，体内异物的检验可用无损检测设备进行。</w:t>
      </w:r>
    </w:p>
    <w:p>
      <w:pPr>
        <w:pStyle w:val="71"/>
        <w:bidi w:val="0"/>
        <w:rPr>
          <w:rFonts w:hint="eastAsia"/>
          <w:lang w:val="en-US" w:eastAsia="zh-CN"/>
        </w:rPr>
      </w:pPr>
      <w:r>
        <w:rPr>
          <w:rFonts w:hint="eastAsia"/>
          <w:lang w:val="en-US" w:eastAsia="zh-CN"/>
        </w:rPr>
        <w:t>理化指标</w:t>
      </w:r>
    </w:p>
    <w:p>
      <w:pPr>
        <w:pStyle w:val="72"/>
        <w:bidi w:val="0"/>
        <w:rPr>
          <w:rFonts w:hint="eastAsia"/>
          <w:lang w:val="en-US" w:eastAsia="zh-CN"/>
        </w:rPr>
      </w:pPr>
      <w:r>
        <w:rPr>
          <w:rFonts w:hint="eastAsia"/>
          <w:lang w:val="en-US" w:eastAsia="zh-CN"/>
        </w:rPr>
        <w:t>水分</w:t>
      </w:r>
    </w:p>
    <w:p>
      <w:pPr>
        <w:pStyle w:val="23"/>
        <w:rPr>
          <w:rFonts w:hint="eastAsia"/>
          <w:lang w:val="en-US" w:eastAsia="zh-CN"/>
        </w:rPr>
      </w:pPr>
      <w:r>
        <w:rPr>
          <w:rFonts w:hint="eastAsia"/>
          <w:lang w:val="en-US" w:eastAsia="zh-CN"/>
        </w:rPr>
        <w:t xml:space="preserve">按GB 5009.3的 </w:t>
      </w:r>
      <w:r>
        <w:rPr>
          <w:rFonts w:hint="default"/>
          <w:lang w:val="en-US" w:eastAsia="zh-CN"/>
        </w:rPr>
        <w:t>规定执行</w:t>
      </w:r>
      <w:r>
        <w:rPr>
          <w:rFonts w:hint="eastAsia"/>
          <w:lang w:val="en-US" w:eastAsia="zh-CN"/>
        </w:rPr>
        <w:t>。</w:t>
      </w:r>
    </w:p>
    <w:p>
      <w:pPr>
        <w:pStyle w:val="72"/>
        <w:bidi w:val="0"/>
        <w:rPr>
          <w:rFonts w:hint="eastAsia"/>
          <w:lang w:val="en-US" w:eastAsia="zh-CN"/>
        </w:rPr>
      </w:pPr>
      <w:r>
        <w:rPr>
          <w:rFonts w:hint="eastAsia"/>
          <w:lang w:val="en-US" w:eastAsia="zh-CN"/>
        </w:rPr>
        <w:t>总灰分及酸不溶性灰分的测定</w:t>
      </w:r>
    </w:p>
    <w:p>
      <w:pPr>
        <w:pStyle w:val="23"/>
        <w:rPr>
          <w:rFonts w:hint="default"/>
          <w:lang w:val="en-US" w:eastAsia="zh-CN"/>
        </w:rPr>
      </w:pPr>
      <w:r>
        <w:rPr>
          <w:rFonts w:hint="eastAsia"/>
          <w:lang w:val="en-US" w:eastAsia="zh-CN"/>
        </w:rPr>
        <w:t>按GB 5009.4 的规定执行。</w:t>
      </w:r>
    </w:p>
    <w:p>
      <w:pPr>
        <w:pStyle w:val="72"/>
        <w:bidi w:val="0"/>
      </w:pPr>
      <w:r>
        <w:rPr>
          <w:rFonts w:hint="eastAsia"/>
          <w:lang w:val="en-US" w:eastAsia="zh-CN"/>
        </w:rPr>
        <w:t xml:space="preserve"> </w:t>
      </w:r>
      <w:r>
        <w:rPr>
          <w:rFonts w:hint="eastAsia"/>
        </w:rPr>
        <w:t>Rb1、Re、Rg1薄层鉴别</w:t>
      </w:r>
    </w:p>
    <w:p>
      <w:pPr>
        <w:pStyle w:val="23"/>
        <w:rPr>
          <w:rFonts w:hint="eastAsia"/>
          <w:lang w:val="en-US" w:eastAsia="zh-CN"/>
        </w:rPr>
      </w:pPr>
      <w:r>
        <w:rPr>
          <w:rFonts w:hint="eastAsia"/>
          <w:lang w:val="en-US" w:eastAsia="zh-CN"/>
        </w:rPr>
        <w:t>按照《中华人民共和国药典》2020年版(一部）人参项下方法鉴别。</w:t>
      </w:r>
    </w:p>
    <w:p>
      <w:pPr>
        <w:pStyle w:val="72"/>
        <w:bidi w:val="0"/>
        <w:rPr>
          <w:rFonts w:hint="eastAsia"/>
          <w:lang w:val="en-US" w:eastAsia="zh-CN"/>
        </w:rPr>
      </w:pPr>
      <w:r>
        <w:rPr>
          <w:rFonts w:hint="eastAsia"/>
          <w:lang w:val="en-US" w:eastAsia="zh-CN"/>
        </w:rPr>
        <w:t>Rb1、Re+Rg1含量测定</w:t>
      </w:r>
    </w:p>
    <w:p>
      <w:pPr>
        <w:pStyle w:val="23"/>
        <w:rPr>
          <w:rFonts w:hint="eastAsia"/>
          <w:lang w:val="en-US" w:eastAsia="zh-CN"/>
        </w:rPr>
      </w:pPr>
      <w:r>
        <w:rPr>
          <w:rFonts w:hint="eastAsia"/>
          <w:lang w:val="en-US" w:eastAsia="zh-CN"/>
        </w:rPr>
        <w:t>按《中华人民共和国药典》2020年版(一部）规定执行。</w:t>
      </w:r>
    </w:p>
    <w:p>
      <w:pPr>
        <w:pStyle w:val="72"/>
        <w:bidi w:val="0"/>
        <w:rPr>
          <w:rFonts w:hint="eastAsia"/>
          <w:lang w:val="en-US" w:eastAsia="zh-CN"/>
        </w:rPr>
      </w:pPr>
      <w:r>
        <w:t>人参总皂苷含量测定</w:t>
      </w:r>
    </w:p>
    <w:p>
      <w:pPr>
        <w:pStyle w:val="23"/>
        <w:rPr>
          <w:rFonts w:hint="eastAsia"/>
          <w:lang w:val="en-US" w:eastAsia="zh-CN"/>
        </w:rPr>
      </w:pPr>
      <w:r>
        <w:rPr>
          <w:rFonts w:hint="eastAsia"/>
          <w:lang w:val="en-US" w:eastAsia="zh-CN"/>
        </w:rPr>
        <w:t>按GB/T 18765 野山参鉴定及分等质量标准附录A规定执行。</w:t>
      </w:r>
    </w:p>
    <w:p>
      <w:pPr>
        <w:pStyle w:val="70"/>
        <w:bidi w:val="0"/>
        <w:rPr>
          <w:rFonts w:hint="eastAsia"/>
          <w:lang w:val="en-US" w:eastAsia="zh-CN"/>
        </w:rPr>
      </w:pPr>
      <w:r>
        <w:rPr>
          <w:rFonts w:hint="eastAsia"/>
          <w:lang w:val="en-US" w:eastAsia="zh-CN"/>
        </w:rPr>
        <w:t>检验规则</w:t>
      </w:r>
    </w:p>
    <w:p>
      <w:pPr>
        <w:pStyle w:val="71"/>
        <w:bidi w:val="0"/>
        <w:rPr>
          <w:rFonts w:hint="eastAsia"/>
          <w:lang w:val="en-US" w:eastAsia="zh-CN"/>
        </w:rPr>
      </w:pPr>
      <w:r>
        <w:rPr>
          <w:rFonts w:hint="eastAsia"/>
          <w:lang w:val="en-US" w:eastAsia="zh-CN"/>
        </w:rPr>
        <w:t>总则</w:t>
      </w:r>
    </w:p>
    <w:p>
      <w:pPr>
        <w:pStyle w:val="23"/>
        <w:rPr>
          <w:rFonts w:hint="eastAsia"/>
          <w:lang w:val="en-US" w:eastAsia="zh-CN"/>
        </w:rPr>
      </w:pPr>
      <w:r>
        <w:rPr>
          <w:rFonts w:hint="eastAsia"/>
          <w:lang w:val="en-US" w:eastAsia="zh-CN"/>
        </w:rPr>
        <w:t>桓仁山参鉴定以外观鉴定（有资质的质量鉴定部门）为判定合格的标准，必要时按桓仁山参粉、桓仁山参片理化指标进行检验；桓仁山参粉、桓仁山参片加工销售前，应经具有资质单位进行感官鉴定，同时进行理化指标检验（出厂检验）。</w:t>
      </w:r>
    </w:p>
    <w:p>
      <w:pPr>
        <w:pStyle w:val="71"/>
        <w:bidi w:val="0"/>
        <w:rPr>
          <w:rFonts w:hint="eastAsia"/>
          <w:lang w:val="en-US" w:eastAsia="zh-CN"/>
        </w:rPr>
      </w:pPr>
      <w:r>
        <w:rPr>
          <w:rFonts w:hint="eastAsia"/>
        </w:rPr>
        <w:t>抽样和数量</w:t>
      </w:r>
    </w:p>
    <w:p>
      <w:pPr>
        <w:pStyle w:val="23"/>
        <w:rPr>
          <w:rFonts w:hint="eastAsia"/>
          <w:lang w:val="en-US" w:eastAsia="zh-CN"/>
        </w:rPr>
      </w:pPr>
      <w:r>
        <w:rPr>
          <w:rFonts w:hint="eastAsia"/>
          <w:lang w:val="en-US" w:eastAsia="zh-CN"/>
        </w:rPr>
        <w:t>感官鉴定逐支进行，桓仁山参粉、桓仁山参片理化指标同批次产品中按随机方法抽取样品，每批次取样品不得少于50g。</w:t>
      </w:r>
    </w:p>
    <w:p>
      <w:pPr>
        <w:pStyle w:val="71"/>
        <w:bidi w:val="0"/>
        <w:rPr>
          <w:rFonts w:hint="eastAsia"/>
          <w:lang w:val="en-US" w:eastAsia="zh-CN"/>
        </w:rPr>
      </w:pPr>
      <w:r>
        <w:rPr>
          <w:rFonts w:hint="eastAsia"/>
          <w:lang w:val="en-US" w:eastAsia="zh-CN"/>
        </w:rPr>
        <w:t>出厂检验</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桓仁山参出厂前，由有资质的质量鉴定部门按5.1规定逐支（盒）进行感官鉴定，按等级标准应逐支拍照片，并上网备查，出具检验报告。外观鉴定不能满足需要时，可要求质量鉴定部门进行理化检验。</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桓仁山参粉和桓仁山参片产品的检验为出厂检验。桓仁山参粉、桓仁山参片原料应符合表2的规定，并进行理化指标检验，随机抽样。理化指标应符合表5的要求。</w:t>
      </w:r>
    </w:p>
    <w:p>
      <w:pPr>
        <w:pStyle w:val="71"/>
        <w:bidi w:val="0"/>
        <w:rPr>
          <w:rFonts w:hint="eastAsia"/>
          <w:lang w:val="en-US" w:eastAsia="zh-CN"/>
        </w:rPr>
      </w:pPr>
      <w:r>
        <w:rPr>
          <w:rFonts w:hint="eastAsia"/>
          <w:lang w:val="en-US" w:eastAsia="zh-CN"/>
        </w:rPr>
        <w:t>型式检验</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买卖双方发生争议时，可要求有资质的质量鉴定部门进行外观鉴定。外观鉴定如不能满足需要时，可要求质量鉴定部门进行理化和卫生检验。</w:t>
      </w:r>
    </w:p>
    <w:p>
      <w:pPr>
        <w:pStyle w:val="72"/>
        <w:bidi w:val="0"/>
        <w:rPr>
          <w:rFonts w:hint="eastAsia"/>
          <w:lang w:val="en-US" w:eastAsia="zh-CN"/>
        </w:rPr>
      </w:pPr>
      <w:r>
        <w:rPr>
          <w:rFonts w:hint="eastAsia" w:ascii="宋体" w:hAnsi="宋体" w:eastAsia="宋体" w:cs="宋体"/>
          <w:lang w:val="en-US" w:eastAsia="zh-CN"/>
        </w:rPr>
        <w:t>作为原料用的桓仁山参应符合5.1、5.2及5.3的规定，桓仁山参粉、桓仁山参片应符合5.2及5.3的规定</w:t>
      </w:r>
      <w:r>
        <w:rPr>
          <w:rFonts w:hint="eastAsia"/>
          <w:lang w:val="en-US" w:eastAsia="zh-CN"/>
        </w:rPr>
        <w:t>。</w:t>
      </w:r>
    </w:p>
    <w:p>
      <w:pPr>
        <w:pStyle w:val="71"/>
        <w:bidi w:val="0"/>
        <w:rPr>
          <w:rFonts w:hint="eastAsia"/>
          <w:lang w:val="en-US" w:eastAsia="zh-CN"/>
        </w:rPr>
      </w:pPr>
      <w:r>
        <w:rPr>
          <w:rFonts w:hint="eastAsia"/>
          <w:lang w:val="en-US" w:eastAsia="zh-CN"/>
        </w:rPr>
        <w:t>判定规则</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桓仁山参不符合5.1规定的，判定为不合格。</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桓仁山参粉、桓仁山参片的理化指标有</w:t>
      </w:r>
      <w:bookmarkStart w:id="19" w:name="_GoBack"/>
      <w:bookmarkEnd w:id="19"/>
      <w:r>
        <w:rPr>
          <w:rFonts w:hint="eastAsia" w:ascii="宋体" w:hAnsi="宋体" w:eastAsia="宋体" w:cs="宋体"/>
          <w:lang w:val="en-US" w:eastAsia="zh-CN"/>
        </w:rPr>
        <w:t>一项不合格时，可从该产品中加倍采样重新复检，如全部合格时可判定产品合格，仍有一项不合格时，可判定该产品为不合格产品。</w:t>
      </w:r>
    </w:p>
    <w:p>
      <w:pPr>
        <w:pStyle w:val="70"/>
        <w:bidi w:val="0"/>
        <w:rPr>
          <w:rFonts w:hint="eastAsia"/>
          <w:lang w:val="en-US" w:eastAsia="zh-CN"/>
        </w:rPr>
      </w:pPr>
      <w:bookmarkStart w:id="14" w:name="_Toc11078"/>
      <w:r>
        <w:rPr>
          <w:rFonts w:hint="eastAsia"/>
          <w:lang w:val="en-US" w:eastAsia="zh-CN"/>
        </w:rPr>
        <w:t>标签、标志、包装、运输、贮存</w:t>
      </w:r>
      <w:bookmarkEnd w:id="14"/>
    </w:p>
    <w:p>
      <w:pPr>
        <w:pStyle w:val="71"/>
        <w:bidi w:val="0"/>
        <w:rPr>
          <w:rFonts w:hint="eastAsia"/>
          <w:lang w:val="en-US" w:eastAsia="zh-CN"/>
        </w:rPr>
      </w:pPr>
      <w:bookmarkStart w:id="15" w:name="_Toc12614"/>
      <w:r>
        <w:rPr>
          <w:rFonts w:hint="eastAsia"/>
          <w:lang w:val="en-US" w:eastAsia="zh-CN"/>
        </w:rPr>
        <w:t>标签、标志</w:t>
      </w:r>
      <w:bookmarkEnd w:id="15"/>
    </w:p>
    <w:p>
      <w:pPr>
        <w:keepNext w:val="0"/>
        <w:keepLines w:val="0"/>
        <w:pageBreakBefore w:val="0"/>
        <w:kinsoku/>
        <w:wordWrap/>
        <w:overflowPunct/>
        <w:topLinePunct w:val="0"/>
        <w:bidi w:val="0"/>
        <w:adjustRightInd/>
        <w:snapToGrid/>
        <w:ind w:leftChars="0" w:firstLine="420" w:firstLineChars="200"/>
        <w:textAlignment w:val="auto"/>
        <w:rPr>
          <w:rFonts w:hint="eastAsia"/>
          <w:lang w:val="en-US" w:eastAsia="zh-CN"/>
        </w:rPr>
      </w:pPr>
      <w:r>
        <w:rPr>
          <w:rFonts w:hint="eastAsia" w:ascii="宋体" w:hAnsi="Times New Roman" w:eastAsia="宋体" w:cs="宋体"/>
          <w:kern w:val="0"/>
          <w:sz w:val="21"/>
          <w:szCs w:val="20"/>
          <w:lang w:eastAsia="zh-CN"/>
        </w:rPr>
        <w:t>标签标注应符合</w:t>
      </w:r>
      <w:r>
        <w:rPr>
          <w:rFonts w:hint="eastAsia" w:ascii="宋体" w:hAnsi="Times New Roman" w:eastAsia="宋体" w:cs="宋体"/>
          <w:kern w:val="0"/>
          <w:sz w:val="21"/>
          <w:szCs w:val="20"/>
          <w:lang w:val="en-US" w:eastAsia="zh-CN"/>
        </w:rPr>
        <w:t>GB 7718、GB 28050规定。</w:t>
      </w:r>
      <w:r>
        <w:rPr>
          <w:rFonts w:hint="eastAsia" w:ascii="宋体" w:hAnsi="Times New Roman" w:eastAsia="宋体" w:cs="宋体"/>
          <w:kern w:val="0"/>
          <w:sz w:val="21"/>
          <w:szCs w:val="20"/>
          <w:lang w:eastAsia="zh-CN"/>
        </w:rPr>
        <w:t>获准使用地理标志产品专用标志的生产者 ,可在其产品包装上使用地理标志产品专用标志，标志的使用应符合《地理标志专用标志使用管理办法(试行)》。产品名称应按本文件规定的名称标注。外包装标</w:t>
      </w:r>
      <w:r>
        <w:rPr>
          <w:rFonts w:hint="eastAsia" w:ascii="宋体" w:hAnsi="Times New Roman" w:eastAsia="宋体" w:cs="宋体"/>
          <w:kern w:val="0"/>
          <w:sz w:val="21"/>
          <w:szCs w:val="20"/>
          <w:lang w:val="en-US" w:eastAsia="zh-CN"/>
        </w:rPr>
        <w:t>志</w:t>
      </w:r>
      <w:r>
        <w:rPr>
          <w:rFonts w:hint="eastAsia" w:ascii="宋体" w:hAnsi="Times New Roman" w:eastAsia="宋体" w:cs="宋体"/>
          <w:kern w:val="0"/>
          <w:sz w:val="21"/>
          <w:szCs w:val="20"/>
          <w:lang w:eastAsia="zh-CN"/>
        </w:rPr>
        <w:t>应符合</w:t>
      </w:r>
      <w:r>
        <w:rPr>
          <w:rFonts w:hint="eastAsia" w:ascii="宋体" w:hAnsi="Times New Roman" w:eastAsia="宋体" w:cs="宋体"/>
          <w:kern w:val="0"/>
          <w:sz w:val="21"/>
          <w:szCs w:val="20"/>
          <w:lang w:val="en-US" w:eastAsia="zh-CN"/>
        </w:rPr>
        <w:t>GB/T 191</w:t>
      </w:r>
      <w:r>
        <w:rPr>
          <w:rFonts w:hint="eastAsia" w:ascii="宋体" w:hAnsi="Times New Roman" w:eastAsia="宋体" w:cs="宋体"/>
          <w:kern w:val="0"/>
          <w:sz w:val="21"/>
          <w:szCs w:val="20"/>
          <w:lang w:eastAsia="zh-CN"/>
        </w:rPr>
        <w:t>的规定。</w:t>
      </w:r>
    </w:p>
    <w:p>
      <w:pPr>
        <w:pStyle w:val="71"/>
        <w:bidi w:val="0"/>
        <w:rPr>
          <w:rFonts w:hint="eastAsia"/>
          <w:lang w:val="en-US" w:eastAsia="zh-CN"/>
        </w:rPr>
      </w:pPr>
      <w:bookmarkStart w:id="16" w:name="_Toc3501"/>
      <w:r>
        <w:rPr>
          <w:rFonts w:hint="eastAsia"/>
          <w:lang w:val="en-US" w:eastAsia="zh-CN"/>
        </w:rPr>
        <w:t>包装</w:t>
      </w:r>
      <w:bookmarkEnd w:id="16"/>
    </w:p>
    <w:p>
      <w:pPr>
        <w:pStyle w:val="23"/>
        <w:rPr>
          <w:rFonts w:hint="eastAsia"/>
          <w:lang w:val="en-US" w:eastAsia="zh-CN"/>
        </w:rPr>
      </w:pPr>
      <w:r>
        <w:rPr>
          <w:rFonts w:hint="eastAsia"/>
          <w:lang w:val="en-US" w:eastAsia="zh-CN"/>
        </w:rPr>
        <w:t>每支桓仁山参包装应用防潮、无毒、无异味的木盒或精制纸盒包装，桓仁山参应固定在台板上或散装，鉴定证书应放在盒内，包装材料应符合包装应符合GB 9683的规定。</w:t>
      </w:r>
    </w:p>
    <w:p>
      <w:pPr>
        <w:pStyle w:val="71"/>
        <w:bidi w:val="0"/>
        <w:rPr>
          <w:rFonts w:hint="eastAsia"/>
          <w:lang w:val="en-US" w:eastAsia="zh-CN"/>
        </w:rPr>
      </w:pPr>
      <w:bookmarkStart w:id="17" w:name="_Toc10361"/>
      <w:r>
        <w:rPr>
          <w:rFonts w:hint="eastAsia"/>
          <w:lang w:val="en-US" w:eastAsia="zh-CN"/>
        </w:rPr>
        <w:t>运输</w:t>
      </w:r>
      <w:bookmarkEnd w:id="17"/>
    </w:p>
    <w:p>
      <w:pPr>
        <w:pStyle w:val="23"/>
        <w:rPr>
          <w:rFonts w:hint="eastAsia"/>
          <w:lang w:val="en-US" w:eastAsia="zh-CN"/>
        </w:rPr>
      </w:pPr>
      <w:r>
        <w:rPr>
          <w:rFonts w:hint="eastAsia"/>
          <w:lang w:val="en-US" w:eastAsia="zh-CN"/>
        </w:rPr>
        <w:t>运输的交通工具应清洁、卫生、无异味；运输时应防雨、防潮、防曝晒，小心轻放；严禁与有毒、易污染物品混装、混运。</w:t>
      </w:r>
    </w:p>
    <w:p>
      <w:pPr>
        <w:pStyle w:val="71"/>
        <w:bidi w:val="0"/>
        <w:rPr>
          <w:rFonts w:hint="eastAsia"/>
          <w:highlight w:val="none"/>
          <w:lang w:val="en-US" w:eastAsia="zh-CN"/>
        </w:rPr>
      </w:pPr>
      <w:bookmarkStart w:id="18" w:name="_Toc5762"/>
      <w:r>
        <w:rPr>
          <w:rFonts w:hint="eastAsia"/>
          <w:highlight w:val="none"/>
          <w:lang w:val="en-US" w:eastAsia="zh-CN"/>
        </w:rPr>
        <w:t>贮存</w:t>
      </w:r>
      <w:bookmarkEnd w:id="18"/>
    </w:p>
    <w:p>
      <w:pPr>
        <w:pStyle w:val="23"/>
        <w:rPr>
          <w:rFonts w:hint="eastAsia"/>
          <w:lang w:val="en-US" w:eastAsia="zh-CN"/>
        </w:rPr>
      </w:pPr>
      <w:r>
        <w:rPr>
          <w:rFonts w:hint="eastAsia"/>
          <w:lang w:val="en-US" w:eastAsia="zh-CN"/>
        </w:rPr>
        <w:t>成品桓仁山参应贮存在清洁卫生、阴凉干燥（温度不超过200C、相对湿度不高于65%）、通风、防潮、防虫、无异味的库房中或冰柜中，鲜参应用保鲜专柜储存，定期检查贮存情况。</w:t>
      </w: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bidi w:val="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黑体"/>
        <w:lang w:val="en-US" w:eastAsia="zh-CN"/>
      </w:rPr>
    </w:pPr>
    <w:r>
      <w:rPr>
        <w:rFonts w:hint="eastAsia"/>
        <w:lang w:val="en-US" w:eastAsia="zh-CN"/>
      </w:rPr>
      <w:t>DBXX/T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6419B"/>
    <w:multiLevelType w:val="multilevel"/>
    <w:tmpl w:val="83D6419B"/>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96CC4A2E"/>
    <w:multiLevelType w:val="multilevel"/>
    <w:tmpl w:val="96CC4A2E"/>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249DECF"/>
    <w:multiLevelType w:val="multilevel"/>
    <w:tmpl w:val="A249DECF"/>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B3727624"/>
    <w:multiLevelType w:val="multilevel"/>
    <w:tmpl w:val="B3727624"/>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CBCBF39"/>
    <w:multiLevelType w:val="multilevel"/>
    <w:tmpl w:val="BCBCBF39"/>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D64986B0"/>
    <w:multiLevelType w:val="multilevel"/>
    <w:tmpl w:val="D64986B0"/>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0F41CDB"/>
    <w:multiLevelType w:val="multilevel"/>
    <w:tmpl w:val="E0F41CDB"/>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E5DC4A67"/>
    <w:multiLevelType w:val="multilevel"/>
    <w:tmpl w:val="E5DC4A67"/>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1D3CE922"/>
    <w:multiLevelType w:val="multilevel"/>
    <w:tmpl w:val="1D3CE922"/>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DF16D9D"/>
    <w:multiLevelType w:val="multilevel"/>
    <w:tmpl w:val="3DF16D9D"/>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4607D485"/>
    <w:multiLevelType w:val="multilevel"/>
    <w:tmpl w:val="4607D485"/>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5133AF93"/>
    <w:multiLevelType w:val="multilevel"/>
    <w:tmpl w:val="5133AF93"/>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2">
    <w:nsid w:val="5143C2E7"/>
    <w:multiLevelType w:val="multilevel"/>
    <w:tmpl w:val="5143C2E7"/>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3"/>
      <w:suff w:val="space"/>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5597CDB9"/>
    <w:multiLevelType w:val="multilevel"/>
    <w:tmpl w:val="5597CDB9"/>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685439DC"/>
    <w:multiLevelType w:val="multilevel"/>
    <w:tmpl w:val="685439DC"/>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6">
    <w:nsid w:val="6A68B650"/>
    <w:multiLevelType w:val="multilevel"/>
    <w:tmpl w:val="6A68B650"/>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6B3BECA2"/>
    <w:multiLevelType w:val="multilevel"/>
    <w:tmpl w:val="6B3BECA2"/>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pStyle w:val="122"/>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703EF455"/>
    <w:multiLevelType w:val="multilevel"/>
    <w:tmpl w:val="703EF455"/>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6"/>
  </w:num>
  <w:num w:numId="2">
    <w:abstractNumId w:val="15"/>
  </w:num>
  <w:num w:numId="3">
    <w:abstractNumId w:val="1"/>
  </w:num>
  <w:num w:numId="4">
    <w:abstractNumId w:val="16"/>
  </w:num>
  <w:num w:numId="5">
    <w:abstractNumId w:val="9"/>
  </w:num>
  <w:num w:numId="6">
    <w:abstractNumId w:val="4"/>
  </w:num>
  <w:num w:numId="7">
    <w:abstractNumId w:val="10"/>
  </w:num>
  <w:num w:numId="8">
    <w:abstractNumId w:val="19"/>
  </w:num>
  <w:num w:numId="9">
    <w:abstractNumId w:val="0"/>
  </w:num>
  <w:num w:numId="10">
    <w:abstractNumId w:val="7"/>
  </w:num>
  <w:num w:numId="11">
    <w:abstractNumId w:val="17"/>
  </w:num>
  <w:num w:numId="12">
    <w:abstractNumId w:val="5"/>
  </w:num>
  <w:num w:numId="13">
    <w:abstractNumId w:val="13"/>
  </w:num>
  <w:num w:numId="14">
    <w:abstractNumId w:val="3"/>
  </w:num>
  <w:num w:numId="15">
    <w:abstractNumId w:val="8"/>
  </w:num>
  <w:num w:numId="16">
    <w:abstractNumId w:val="2"/>
  </w:num>
  <w:num w:numId="17">
    <w:abstractNumId w:val="11"/>
  </w:num>
  <w:num w:numId="18">
    <w:abstractNumId w:val="14"/>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zcxY2Q4ZDQ0MDFmYWRhY2I4M2ZkODExZTBhZDcifQ=="/>
  </w:docVars>
  <w:rsids>
    <w:rsidRoot w:val="498E01B0"/>
    <w:rsid w:val="00EC3FB8"/>
    <w:rsid w:val="03A06237"/>
    <w:rsid w:val="06B7274D"/>
    <w:rsid w:val="21954FB7"/>
    <w:rsid w:val="33AB5DD1"/>
    <w:rsid w:val="344324B0"/>
    <w:rsid w:val="498E01B0"/>
    <w:rsid w:val="59217BE4"/>
    <w:rsid w:val="5CAB6E55"/>
    <w:rsid w:val="61533AA1"/>
    <w:rsid w:val="685A64FE"/>
    <w:rsid w:val="71AC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Ansi="Times New Roman"/>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正文表标题"/>
    <w:next w:val="119"/>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1">
    <w:name w:val="三级无"/>
    <w:basedOn w:val="122"/>
    <w:qFormat/>
    <w:uiPriority w:val="0"/>
    <w:pPr>
      <w:spacing w:before="0" w:beforeLines="0" w:after="0" w:afterLines="0"/>
    </w:pPr>
    <w:rPr>
      <w:rFonts w:ascii="宋体" w:eastAsia="宋体"/>
    </w:rPr>
  </w:style>
  <w:style w:type="paragraph" w:customStyle="1" w:styleId="122">
    <w:name w:val="三级条标题"/>
    <w:basedOn w:val="123"/>
    <w:next w:val="119"/>
    <w:qFormat/>
    <w:uiPriority w:val="0"/>
    <w:pPr>
      <w:numPr>
        <w:ilvl w:val="4"/>
        <w:numId w:val="19"/>
      </w:numPr>
      <w:outlineLvl w:val="4"/>
    </w:pPr>
  </w:style>
  <w:style w:type="paragraph" w:customStyle="1" w:styleId="123">
    <w:name w:val="二级条标题"/>
    <w:basedOn w:val="124"/>
    <w:next w:val="119"/>
    <w:qFormat/>
    <w:uiPriority w:val="0"/>
    <w:pPr>
      <w:numPr>
        <w:ilvl w:val="2"/>
      </w:numPr>
      <w:spacing w:before="50" w:after="50"/>
      <w:outlineLvl w:val="3"/>
    </w:pPr>
  </w:style>
  <w:style w:type="paragraph" w:customStyle="1" w:styleId="124">
    <w:name w:val="一级条标题"/>
    <w:next w:val="119"/>
    <w:qFormat/>
    <w:uiPriority w:val="0"/>
    <w:pPr>
      <w:numPr>
        <w:ilvl w:val="1"/>
        <w:numId w:val="20"/>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46c696-d568-4df9-baa7-c3978d33d934}"/>
        <w:style w:val=""/>
        <w:category>
          <w:name w:val="常规"/>
          <w:gallery w:val="placeholder"/>
        </w:category>
        <w:types>
          <w:type w:val="bbPlcHdr"/>
        </w:types>
        <w:behaviors>
          <w:behavior w:val="content"/>
        </w:behaviors>
        <w:description w:val=""/>
        <w:guid w:val="{0c46c696-d568-4df9-baa7-c3978d33d934}"/>
      </w:docPartPr>
      <w:docPartBody>
        <w:p>
          <w:r>
            <w:rPr>
              <w:color w:val="808080"/>
            </w:rPr>
            <w:t>选择一项。</w:t>
          </w:r>
        </w:p>
      </w:docPartBody>
    </w:docPart>
    <w:docPart>
      <w:docPartPr>
        <w:name w:val="{4f5be9b3-0a15-4e14-bac1-022579143ed5}"/>
        <w:style w:val=""/>
        <w:category>
          <w:name w:val="常规"/>
          <w:gallery w:val="placeholder"/>
        </w:category>
        <w:types>
          <w:type w:val="bbPlcHdr"/>
        </w:types>
        <w:behaviors>
          <w:behavior w:val="content"/>
        </w:behaviors>
        <w:description w:val=""/>
        <w:guid w:val="{4f5be9b3-0a15-4e14-bac1-022579143ed5}"/>
      </w:docPartPr>
      <w:docPartBody>
        <w:p>
          <w:r>
            <w:rPr>
              <w:color w:val="808080"/>
            </w:rPr>
            <w:t>选择一项。</w:t>
          </w:r>
        </w:p>
      </w:docPartBody>
    </w:docPart>
    <w:docPart>
      <w:docPartPr>
        <w:name w:val="{8305a711-0f83-467c-ac75-24bbdb4c1ad2}"/>
        <w:style w:val=""/>
        <w:category>
          <w:name w:val="常规"/>
          <w:gallery w:val="placeholder"/>
        </w:category>
        <w:types>
          <w:type w:val="bbPlcHdr"/>
        </w:types>
        <w:behaviors>
          <w:behavior w:val="content"/>
        </w:behaviors>
        <w:description w:val=""/>
        <w:guid w:val="{8305a711-0f83-467c-ac75-24bbdb4c1ad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2023-09-13T07:20:00Z</dcterms:created>
  <dc:creator>蔡明</dc:creator>
  <cp:lastModifiedBy>霍辽西</cp:lastModifiedBy>
  <cp:lastPrinted>2023-09-15T01:06:00Z</cp:lastPrinted>
  <dcterms:modified xsi:type="dcterms:W3CDTF">2023-10-10T08:04:56Z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23BD514A597441109A3A439005C4A6DC_13</vt:lpwstr>
  </property>
</Properties>
</file>